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000" w:firstRow="0" w:lastRow="0" w:firstColumn="0" w:lastColumn="0" w:noHBand="0" w:noVBand="0"/>
      </w:tblPr>
      <w:tblGrid>
        <w:gridCol w:w="7857"/>
      </w:tblGrid>
      <w:tr w:rsidR="00AE43E0" w:rsidRPr="00A803E5" w:rsidTr="00D135C7">
        <w:tc>
          <w:tcPr>
            <w:tcW w:w="7857" w:type="dxa"/>
          </w:tcPr>
          <w:p w:rsidR="00AE43E0" w:rsidRPr="00A803E5" w:rsidRDefault="00AE43E0" w:rsidP="00D135C7">
            <w:pPr>
              <w:pStyle w:val="FileNumber0"/>
              <w:jc w:val="center"/>
              <w:rPr>
                <w:sz w:val="28"/>
              </w:rPr>
            </w:pPr>
            <w:bookmarkStart w:id="0" w:name="LastJudge"/>
            <w:bookmarkStart w:id="1" w:name="Text1"/>
            <w:r w:rsidRPr="00807402">
              <w:rPr>
                <w:rFonts w:hint="cs"/>
                <w:rtl/>
              </w:rPr>
              <w:t>בבית המשפט העליון</w:t>
            </w:r>
            <w:bookmarkEnd w:id="1"/>
          </w:p>
        </w:tc>
      </w:tr>
    </w:tbl>
    <w:p w:rsidR="00AE43E0" w:rsidRPr="00807402" w:rsidRDefault="00AE43E0" w:rsidP="00AE43E0">
      <w:pPr>
        <w:jc w:val="right"/>
        <w:rPr>
          <w:rFonts w:cs="Miriam"/>
          <w:b/>
          <w:bCs/>
        </w:rPr>
      </w:pPr>
    </w:p>
    <w:p w:rsidR="00AE43E0" w:rsidRPr="00807402" w:rsidRDefault="00AE43E0" w:rsidP="00AE43E0">
      <w:pPr>
        <w:pStyle w:val="Ruller3"/>
        <w:rPr>
          <w:rFonts w:cs="Miriam"/>
          <w:b/>
          <w:bCs/>
          <w:rtl/>
        </w:rPr>
      </w:pPr>
    </w:p>
    <w:tbl>
      <w:tblPr>
        <w:bidiVisual/>
        <w:tblW w:w="0" w:type="auto"/>
        <w:tblLook w:val="0000" w:firstRow="0" w:lastRow="0" w:firstColumn="0" w:lastColumn="0" w:noHBand="0" w:noVBand="0"/>
      </w:tblPr>
      <w:tblGrid>
        <w:gridCol w:w="3282"/>
        <w:gridCol w:w="5234"/>
        <w:gridCol w:w="6"/>
      </w:tblGrid>
      <w:tr w:rsidR="00AE43E0" w:rsidRPr="00A803E5" w:rsidTr="00D135C7">
        <w:trPr>
          <w:trHeight w:val="342"/>
        </w:trPr>
        <w:tc>
          <w:tcPr>
            <w:tcW w:w="8501" w:type="dxa"/>
            <w:gridSpan w:val="3"/>
          </w:tcPr>
          <w:p w:rsidR="00AE43E0" w:rsidRPr="00A803E5" w:rsidRDefault="00AE43E0" w:rsidP="00D135C7">
            <w:pPr>
              <w:pStyle w:val="FileNumber"/>
              <w:rPr>
                <w:sz w:val="28"/>
                <w:szCs w:val="28"/>
                <w:rtl/>
              </w:rPr>
            </w:pPr>
            <w:bookmarkStart w:id="2" w:name="casename_body"/>
            <w:r w:rsidRPr="00A803E5">
              <w:rPr>
                <w:sz w:val="28"/>
                <w:szCs w:val="28"/>
                <w:rtl/>
              </w:rPr>
              <w:t xml:space="preserve">רע"א  2943/14 </w:t>
            </w:r>
            <w:bookmarkEnd w:id="2"/>
          </w:p>
          <w:p w:rsidR="00AE43E0" w:rsidRPr="00A803E5" w:rsidRDefault="00AE43E0" w:rsidP="00D135C7">
            <w:pPr>
              <w:pStyle w:val="FileNumber"/>
              <w:rPr>
                <w:sz w:val="28"/>
                <w:szCs w:val="28"/>
              </w:rPr>
            </w:pPr>
          </w:p>
        </w:tc>
      </w:tr>
      <w:tr w:rsidR="00AE43E0" w:rsidRPr="00A803E5" w:rsidTr="00D135C7">
        <w:trPr>
          <w:gridAfter w:val="1"/>
          <w:wAfter w:w="6" w:type="dxa"/>
          <w:trHeight w:val="287"/>
        </w:trPr>
        <w:tc>
          <w:tcPr>
            <w:tcW w:w="3284" w:type="dxa"/>
          </w:tcPr>
          <w:p w:rsidR="00AE43E0" w:rsidRPr="00A803E5" w:rsidRDefault="00AE43E0" w:rsidP="00D135C7">
            <w:pPr>
              <w:pStyle w:val="BodyRuller"/>
              <w:rPr>
                <w:rFonts w:cs="Miriam"/>
                <w:b/>
                <w:bCs/>
              </w:rPr>
            </w:pPr>
            <w:r w:rsidRPr="00807402">
              <w:rPr>
                <w:rFonts w:hint="cs"/>
                <w:rtl/>
              </w:rPr>
              <w:t>לפני:</w:t>
            </w:r>
            <w:r w:rsidRPr="00807402">
              <w:rPr>
                <w:rFonts w:hint="cs"/>
                <w:rtl/>
              </w:rPr>
              <w:tab/>
            </w:r>
          </w:p>
        </w:tc>
        <w:tc>
          <w:tcPr>
            <w:tcW w:w="5238" w:type="dxa"/>
          </w:tcPr>
          <w:p w:rsidR="00AE43E0" w:rsidRPr="00807402" w:rsidRDefault="00AE43E0" w:rsidP="00D135C7">
            <w:pPr>
              <w:pStyle w:val="BodyRuller"/>
            </w:pPr>
            <w:r w:rsidRPr="00807402">
              <w:rPr>
                <w:rFonts w:hint="cs"/>
                <w:rtl/>
              </w:rPr>
              <w:t>כבוד השופט נ' הנדל</w:t>
            </w:r>
          </w:p>
        </w:tc>
      </w:tr>
    </w:tbl>
    <w:p w:rsidR="00AE43E0" w:rsidRPr="00807402" w:rsidRDefault="00AE43E0" w:rsidP="00AE43E0">
      <w:pPr>
        <w:pStyle w:val="Ruller3"/>
        <w:rPr>
          <w:rFonts w:cs="Miriam"/>
          <w:b/>
          <w:bCs/>
        </w:rPr>
      </w:pPr>
    </w:p>
    <w:tbl>
      <w:tblPr>
        <w:bidiVisual/>
        <w:tblW w:w="0" w:type="auto"/>
        <w:tblLook w:val="0000" w:firstRow="0" w:lastRow="0" w:firstColumn="0" w:lastColumn="0" w:noHBand="0" w:noVBand="0"/>
      </w:tblPr>
      <w:tblGrid>
        <w:gridCol w:w="3284"/>
        <w:gridCol w:w="5238"/>
      </w:tblGrid>
      <w:tr w:rsidR="00AE43E0" w:rsidRPr="00A803E5" w:rsidTr="00D135C7">
        <w:tc>
          <w:tcPr>
            <w:tcW w:w="3284" w:type="dxa"/>
          </w:tcPr>
          <w:p w:rsidR="00AE43E0" w:rsidRPr="00807402" w:rsidRDefault="00AE43E0" w:rsidP="00D135C7">
            <w:pPr>
              <w:pStyle w:val="BodyRuller"/>
            </w:pPr>
            <w:bookmarkStart w:id="3" w:name="FirstAppellant"/>
            <w:r w:rsidRPr="00807402">
              <w:rPr>
                <w:rFonts w:hint="cs"/>
                <w:rtl/>
              </w:rPr>
              <w:t>המבקשת:</w:t>
            </w:r>
          </w:p>
        </w:tc>
        <w:tc>
          <w:tcPr>
            <w:tcW w:w="5238" w:type="dxa"/>
          </w:tcPr>
          <w:p w:rsidR="00AE43E0" w:rsidRPr="00807402" w:rsidRDefault="00AE43E0" w:rsidP="00D135C7">
            <w:pPr>
              <w:pStyle w:val="BodyRuller"/>
            </w:pPr>
            <w:r w:rsidRPr="00807402">
              <w:rPr>
                <w:rFonts w:hint="cs"/>
                <w:rtl/>
              </w:rPr>
              <w:t>שולמית אייל</w:t>
            </w:r>
          </w:p>
        </w:tc>
      </w:tr>
    </w:tbl>
    <w:bookmarkEnd w:id="3"/>
    <w:p w:rsidR="00AE43E0" w:rsidRPr="00807402" w:rsidRDefault="00AE43E0" w:rsidP="00AE43E0">
      <w:pPr>
        <w:pStyle w:val="Ruller3"/>
        <w:rPr>
          <w:rFonts w:hint="cs"/>
          <w:rtl/>
        </w:rPr>
      </w:pPr>
      <w:r w:rsidRPr="00807402">
        <w:tab/>
      </w:r>
    </w:p>
    <w:tbl>
      <w:tblPr>
        <w:bidiVisual/>
        <w:tblW w:w="0" w:type="auto"/>
        <w:tblLook w:val="0000" w:firstRow="0" w:lastRow="0" w:firstColumn="0" w:lastColumn="0" w:noHBand="0" w:noVBand="0"/>
      </w:tblPr>
      <w:tblGrid>
        <w:gridCol w:w="3284"/>
        <w:gridCol w:w="5238"/>
      </w:tblGrid>
      <w:tr w:rsidR="00AE43E0" w:rsidRPr="00A803E5" w:rsidTr="00D135C7">
        <w:tc>
          <w:tcPr>
            <w:tcW w:w="3284" w:type="dxa"/>
          </w:tcPr>
          <w:p w:rsidR="00AE43E0" w:rsidRPr="00807402" w:rsidRDefault="00AE43E0" w:rsidP="00D135C7">
            <w:pPr>
              <w:pStyle w:val="BodyRuller"/>
            </w:pPr>
          </w:p>
        </w:tc>
        <w:tc>
          <w:tcPr>
            <w:tcW w:w="5238" w:type="dxa"/>
          </w:tcPr>
          <w:p w:rsidR="00AE43E0" w:rsidRPr="00807402" w:rsidRDefault="00AE43E0" w:rsidP="00D135C7">
            <w:pPr>
              <w:pStyle w:val="BodyRuller"/>
            </w:pPr>
            <w:r w:rsidRPr="00807402">
              <w:rPr>
                <w:rFonts w:hint="cs"/>
                <w:rtl/>
              </w:rPr>
              <w:t>נ</w:t>
            </w:r>
            <w:r w:rsidRPr="00807402">
              <w:rPr>
                <w:rtl/>
              </w:rPr>
              <w:t xml:space="preserve"> </w:t>
            </w:r>
            <w:r w:rsidRPr="00807402">
              <w:t xml:space="preserve"> </w:t>
            </w:r>
            <w:r w:rsidRPr="00807402">
              <w:rPr>
                <w:rFonts w:hint="cs"/>
                <w:rtl/>
              </w:rPr>
              <w:t>ג</w:t>
            </w:r>
            <w:r w:rsidRPr="00807402">
              <w:rPr>
                <w:rtl/>
              </w:rPr>
              <w:t xml:space="preserve"> </w:t>
            </w:r>
            <w:r w:rsidRPr="00807402">
              <w:t xml:space="preserve"> </w:t>
            </w:r>
            <w:r w:rsidRPr="00807402">
              <w:rPr>
                <w:rFonts w:hint="cs"/>
                <w:rtl/>
              </w:rPr>
              <w:t>ד</w:t>
            </w:r>
          </w:p>
        </w:tc>
      </w:tr>
    </w:tbl>
    <w:p w:rsidR="00AE43E0" w:rsidRPr="00807402" w:rsidRDefault="00AE43E0" w:rsidP="00AE43E0">
      <w:pPr>
        <w:pStyle w:val="Ruller3"/>
        <w:rPr>
          <w:rtl/>
        </w:rPr>
      </w:pPr>
      <w:r w:rsidRPr="00807402">
        <w:tab/>
      </w:r>
      <w:r w:rsidRPr="00807402">
        <w:tab/>
      </w:r>
      <w:r w:rsidRPr="00807402">
        <w:tab/>
        <w:t xml:space="preserve">     </w:t>
      </w:r>
    </w:p>
    <w:tbl>
      <w:tblPr>
        <w:bidiVisual/>
        <w:tblW w:w="0" w:type="auto"/>
        <w:tblLook w:val="0000" w:firstRow="0" w:lastRow="0" w:firstColumn="0" w:lastColumn="0" w:noHBand="0" w:noVBand="0"/>
      </w:tblPr>
      <w:tblGrid>
        <w:gridCol w:w="3284"/>
        <w:gridCol w:w="5238"/>
      </w:tblGrid>
      <w:tr w:rsidR="00AE43E0" w:rsidRPr="00A803E5" w:rsidTr="00D135C7">
        <w:tc>
          <w:tcPr>
            <w:tcW w:w="3284" w:type="dxa"/>
          </w:tcPr>
          <w:p w:rsidR="00AE43E0" w:rsidRPr="00807402" w:rsidRDefault="00AE43E0" w:rsidP="00D135C7">
            <w:pPr>
              <w:pStyle w:val="BodyRuller"/>
            </w:pPr>
            <w:r w:rsidRPr="00807402">
              <w:rPr>
                <w:rFonts w:hint="cs"/>
                <w:rtl/>
              </w:rPr>
              <w:t>המשיבים:</w:t>
            </w:r>
          </w:p>
        </w:tc>
        <w:tc>
          <w:tcPr>
            <w:tcW w:w="5238" w:type="dxa"/>
          </w:tcPr>
          <w:p w:rsidR="00AE43E0" w:rsidRPr="00807402" w:rsidRDefault="00AE43E0" w:rsidP="00D135C7">
            <w:pPr>
              <w:pStyle w:val="BodyRuller"/>
            </w:pPr>
            <w:r w:rsidRPr="00807402">
              <w:rPr>
                <w:rFonts w:hint="cs"/>
                <w:rtl/>
              </w:rPr>
              <w:t xml:space="preserve">1. עו"ד יניב </w:t>
            </w:r>
            <w:proofErr w:type="spellStart"/>
            <w:r w:rsidRPr="00807402">
              <w:rPr>
                <w:rFonts w:hint="cs"/>
                <w:rtl/>
              </w:rPr>
              <w:t>אינסל</w:t>
            </w:r>
            <w:proofErr w:type="spellEnd"/>
            <w:r w:rsidRPr="00807402">
              <w:rPr>
                <w:rFonts w:hint="cs"/>
                <w:rtl/>
              </w:rPr>
              <w:t xml:space="preserve"> , מנהל מיוחד</w:t>
            </w:r>
          </w:p>
        </w:tc>
      </w:tr>
      <w:tr w:rsidR="00AE43E0" w:rsidRPr="00A803E5" w:rsidTr="00D135C7">
        <w:tc>
          <w:tcPr>
            <w:tcW w:w="3284" w:type="dxa"/>
          </w:tcPr>
          <w:p w:rsidR="00AE43E0" w:rsidRPr="00807402" w:rsidRDefault="00AE43E0" w:rsidP="00D135C7">
            <w:pPr>
              <w:pStyle w:val="BodyRuller"/>
            </w:pPr>
          </w:p>
        </w:tc>
        <w:tc>
          <w:tcPr>
            <w:tcW w:w="5238" w:type="dxa"/>
          </w:tcPr>
          <w:p w:rsidR="00AE43E0" w:rsidRPr="00807402" w:rsidRDefault="00AE43E0" w:rsidP="00D135C7">
            <w:pPr>
              <w:pStyle w:val="BodyRuller"/>
            </w:pPr>
            <w:r w:rsidRPr="00807402">
              <w:rPr>
                <w:rFonts w:hint="cs"/>
                <w:rtl/>
              </w:rPr>
              <w:t xml:space="preserve">2. כונס הנכסים הרשמי </w:t>
            </w:r>
            <w:proofErr w:type="spellStart"/>
            <w:r w:rsidRPr="00807402">
              <w:rPr>
                <w:rFonts w:hint="cs"/>
                <w:rtl/>
              </w:rPr>
              <w:t>ת''א</w:t>
            </w:r>
            <w:proofErr w:type="spellEnd"/>
          </w:p>
        </w:tc>
      </w:tr>
    </w:tbl>
    <w:p w:rsidR="00AE43E0" w:rsidRPr="00807402" w:rsidRDefault="00AE43E0" w:rsidP="00AE43E0">
      <w:pPr>
        <w:pStyle w:val="Ruller3"/>
        <w:rPr>
          <w:rFonts w:hint="cs"/>
          <w:rtl/>
        </w:rPr>
      </w:pPr>
      <w:r w:rsidRPr="00807402">
        <w:rPr>
          <w:rFonts w:hint="cs"/>
          <w:rtl/>
        </w:rPr>
        <w:tab/>
      </w:r>
    </w:p>
    <w:tbl>
      <w:tblPr>
        <w:bidiVisual/>
        <w:tblW w:w="0" w:type="auto"/>
        <w:tblInd w:w="3284" w:type="dxa"/>
        <w:tblLook w:val="0000" w:firstRow="0" w:lastRow="0" w:firstColumn="0" w:lastColumn="0" w:noHBand="0" w:noVBand="0"/>
      </w:tblPr>
      <w:tblGrid>
        <w:gridCol w:w="5238"/>
      </w:tblGrid>
      <w:tr w:rsidR="00AE43E0" w:rsidRPr="00A803E5" w:rsidTr="00D135C7">
        <w:tc>
          <w:tcPr>
            <w:tcW w:w="5238" w:type="dxa"/>
          </w:tcPr>
          <w:p w:rsidR="00AE43E0" w:rsidRPr="00A803E5" w:rsidRDefault="00AE43E0" w:rsidP="00D135C7">
            <w:pPr>
              <w:pStyle w:val="BodyRuller"/>
              <w:rPr>
                <w:sz w:val="24"/>
                <w:szCs w:val="24"/>
              </w:rPr>
            </w:pPr>
            <w:r w:rsidRPr="00A803E5">
              <w:rPr>
                <w:rFonts w:hint="cs"/>
                <w:sz w:val="24"/>
                <w:szCs w:val="24"/>
                <w:rtl/>
              </w:rPr>
              <w:t xml:space="preserve">בקשת רשות ערעור על החלטת בית המשפט המחוזי מרכז בתיק </w:t>
            </w:r>
            <w:proofErr w:type="spellStart"/>
            <w:r w:rsidRPr="00A803E5">
              <w:rPr>
                <w:rFonts w:hint="cs"/>
                <w:sz w:val="24"/>
                <w:szCs w:val="24"/>
                <w:rtl/>
              </w:rPr>
              <w:t>פש</w:t>
            </w:r>
            <w:proofErr w:type="spellEnd"/>
            <w:r w:rsidRPr="00A803E5">
              <w:rPr>
                <w:rFonts w:hint="cs"/>
                <w:sz w:val="24"/>
                <w:szCs w:val="24"/>
                <w:rtl/>
              </w:rPr>
              <w:t>' 049809-09-12</w:t>
            </w:r>
          </w:p>
        </w:tc>
      </w:tr>
    </w:tbl>
    <w:p w:rsidR="00AE43E0" w:rsidRPr="00807402" w:rsidRDefault="00AE43E0" w:rsidP="00AE43E0">
      <w:pPr>
        <w:pStyle w:val="Ruller3"/>
        <w:rPr>
          <w:rtl/>
        </w:rPr>
      </w:pPr>
      <w:r w:rsidRPr="00807402">
        <w:rPr>
          <w:rFonts w:hint="cs"/>
          <w:rtl/>
        </w:rPr>
        <w:tab/>
      </w:r>
    </w:p>
    <w:p w:rsidR="00AE43E0" w:rsidRPr="00807402" w:rsidRDefault="00AE43E0" w:rsidP="00AE43E0">
      <w:pPr>
        <w:pStyle w:val="Ruller3"/>
        <w:rPr>
          <w:rFonts w:hint="cs"/>
          <w:rtl/>
        </w:rPr>
      </w:pPr>
      <w:r w:rsidRPr="00807402">
        <w:rPr>
          <w:rFonts w:hint="cs"/>
          <w:rtl/>
        </w:rPr>
        <w:t>בשם המבקשת:</w:t>
      </w:r>
      <w:r w:rsidRPr="00807402">
        <w:rPr>
          <w:rFonts w:hint="cs"/>
          <w:rtl/>
        </w:rPr>
        <w:tab/>
        <w:t>בעצמה</w:t>
      </w:r>
    </w:p>
    <w:p w:rsidR="00AE43E0" w:rsidRPr="00807402" w:rsidRDefault="00AE43E0" w:rsidP="00AE43E0">
      <w:pPr>
        <w:pStyle w:val="Ruller3"/>
        <w:rPr>
          <w:rFonts w:hint="cs"/>
          <w:rtl/>
        </w:rPr>
      </w:pPr>
      <w:r w:rsidRPr="00807402">
        <w:rPr>
          <w:rFonts w:hint="cs"/>
          <w:rtl/>
        </w:rPr>
        <w:t>בשם משיב 1:</w:t>
      </w:r>
      <w:r w:rsidRPr="00807402">
        <w:rPr>
          <w:rFonts w:hint="cs"/>
          <w:rtl/>
        </w:rPr>
        <w:tab/>
        <w:t>בעצמו</w:t>
      </w:r>
    </w:p>
    <w:p w:rsidR="00AE43E0" w:rsidRDefault="00AE43E0" w:rsidP="00AE43E0">
      <w:pPr>
        <w:pStyle w:val="Ruller3"/>
        <w:rPr>
          <w:rtl/>
        </w:rPr>
      </w:pPr>
      <w:bookmarkStart w:id="4" w:name="FirstLawyer"/>
      <w:r w:rsidRPr="00807402">
        <w:rPr>
          <w:rFonts w:hint="cs"/>
          <w:rtl/>
        </w:rPr>
        <w:t>בשם</w:t>
      </w:r>
      <w:bookmarkEnd w:id="4"/>
      <w:r w:rsidRPr="00807402">
        <w:rPr>
          <w:rFonts w:hint="cs"/>
          <w:rtl/>
        </w:rPr>
        <w:t xml:space="preserve"> משיב 2:</w:t>
      </w:r>
      <w:r w:rsidRPr="00807402">
        <w:rPr>
          <w:rFonts w:hint="cs"/>
          <w:rtl/>
        </w:rPr>
        <w:tab/>
        <w:t xml:space="preserve">עו"ד שמרית </w:t>
      </w:r>
      <w:proofErr w:type="spellStart"/>
      <w:r w:rsidRPr="00807402">
        <w:rPr>
          <w:rFonts w:hint="cs"/>
          <w:rtl/>
        </w:rPr>
        <w:t>מלמ</w:t>
      </w:r>
      <w:bookmarkStart w:id="5" w:name="LawTable"/>
      <w:bookmarkEnd w:id="5"/>
      <w:proofErr w:type="spellEnd"/>
    </w:p>
    <w:p w:rsidR="00AE43E0" w:rsidRPr="006204BE" w:rsidRDefault="00AE43E0" w:rsidP="00AE43E0">
      <w:pPr>
        <w:pStyle w:val="Ruller3"/>
        <w:spacing w:after="120" w:line="240" w:lineRule="exact"/>
        <w:ind w:left="283" w:hanging="283"/>
        <w:jc w:val="both"/>
        <w:rPr>
          <w:rFonts w:ascii="FrankRuehl" w:hAnsi="FrankRuehl"/>
          <w:spacing w:val="0"/>
          <w:sz w:val="24"/>
          <w:szCs w:val="24"/>
          <w:rtl/>
        </w:rPr>
      </w:pPr>
    </w:p>
    <w:p w:rsidR="00AE43E0" w:rsidRPr="006204BE" w:rsidRDefault="00AE43E0" w:rsidP="00AE43E0">
      <w:pPr>
        <w:pStyle w:val="Ruller3"/>
        <w:spacing w:after="120" w:line="240" w:lineRule="exact"/>
        <w:ind w:left="283" w:hanging="283"/>
        <w:jc w:val="both"/>
        <w:rPr>
          <w:rFonts w:ascii="FrankRuehl" w:hAnsi="FrankRuehl"/>
          <w:spacing w:val="0"/>
          <w:sz w:val="24"/>
          <w:szCs w:val="24"/>
          <w:rtl/>
        </w:rPr>
      </w:pPr>
      <w:r w:rsidRPr="006204BE">
        <w:rPr>
          <w:rFonts w:ascii="FrankRuehl" w:hAnsi="FrankRuehl"/>
          <w:spacing w:val="0"/>
          <w:sz w:val="24"/>
          <w:szCs w:val="24"/>
          <w:rtl/>
        </w:rPr>
        <w:t xml:space="preserve">חקיקה שאוזכרה: </w:t>
      </w:r>
    </w:p>
    <w:p w:rsidR="00AE43E0" w:rsidRPr="006204BE" w:rsidRDefault="00AE43E0" w:rsidP="00AE43E0">
      <w:pPr>
        <w:pStyle w:val="Ruller3"/>
        <w:spacing w:after="120" w:line="240" w:lineRule="exact"/>
        <w:ind w:left="283" w:hanging="283"/>
        <w:jc w:val="both"/>
        <w:rPr>
          <w:rFonts w:ascii="FrankRuehl" w:hAnsi="FrankRuehl"/>
          <w:spacing w:val="0"/>
          <w:sz w:val="24"/>
          <w:szCs w:val="24"/>
          <w:rtl/>
        </w:rPr>
      </w:pPr>
      <w:hyperlink r:id="rId5" w:history="1">
        <w:r w:rsidRPr="006204BE">
          <w:rPr>
            <w:rFonts w:ascii="FrankRuehl" w:hAnsi="FrankRuehl"/>
            <w:color w:val="0000FF"/>
            <w:spacing w:val="0"/>
            <w:sz w:val="24"/>
            <w:szCs w:val="24"/>
            <w:u w:val="single"/>
            <w:rtl/>
          </w:rPr>
          <w:t>פקודת פשיטת הרגל [נוסח חדש], תש"ם-1980</w:t>
        </w:r>
      </w:hyperlink>
      <w:r w:rsidRPr="006204BE">
        <w:rPr>
          <w:rFonts w:ascii="FrankRuehl" w:hAnsi="FrankRuehl"/>
          <w:spacing w:val="0"/>
          <w:sz w:val="24"/>
          <w:szCs w:val="24"/>
          <w:rtl/>
        </w:rPr>
        <w:t xml:space="preserve">: סע'  </w:t>
      </w:r>
      <w:hyperlink r:id="rId6" w:history="1">
        <w:r w:rsidRPr="006204BE">
          <w:rPr>
            <w:rFonts w:ascii="FrankRuehl" w:hAnsi="FrankRuehl"/>
            <w:color w:val="0000FF"/>
            <w:spacing w:val="0"/>
            <w:sz w:val="24"/>
            <w:szCs w:val="24"/>
            <w:u w:val="single"/>
            <w:rtl/>
          </w:rPr>
          <w:t>18ג(א)</w:t>
        </w:r>
      </w:hyperlink>
    </w:p>
    <w:p w:rsidR="00AE43E0" w:rsidRPr="006204BE" w:rsidRDefault="00AE43E0" w:rsidP="00AE43E0">
      <w:pPr>
        <w:pStyle w:val="Ruller3"/>
        <w:spacing w:after="120" w:line="240" w:lineRule="exact"/>
        <w:ind w:left="283" w:hanging="283"/>
        <w:jc w:val="both"/>
        <w:rPr>
          <w:rFonts w:ascii="FrankRuehl" w:hAnsi="FrankRuehl"/>
          <w:spacing w:val="0"/>
          <w:sz w:val="24"/>
          <w:szCs w:val="24"/>
          <w:rtl/>
        </w:rPr>
      </w:pPr>
      <w:hyperlink r:id="rId7" w:history="1">
        <w:r w:rsidRPr="006204BE">
          <w:rPr>
            <w:rFonts w:ascii="FrankRuehl" w:hAnsi="FrankRuehl"/>
            <w:color w:val="0000FF"/>
            <w:spacing w:val="0"/>
            <w:sz w:val="24"/>
            <w:szCs w:val="24"/>
            <w:u w:val="single"/>
            <w:rtl/>
          </w:rPr>
          <w:t>תקנות פשיטת הרגל, תשמ"ה-1985</w:t>
        </w:r>
      </w:hyperlink>
      <w:r w:rsidRPr="006204BE">
        <w:rPr>
          <w:rFonts w:ascii="FrankRuehl" w:hAnsi="FrankRuehl"/>
          <w:spacing w:val="0"/>
          <w:sz w:val="24"/>
          <w:szCs w:val="24"/>
          <w:rtl/>
        </w:rPr>
        <w:t xml:space="preserve">: סע'  </w:t>
      </w:r>
      <w:hyperlink r:id="rId8" w:history="1">
        <w:r w:rsidRPr="006204BE">
          <w:rPr>
            <w:rFonts w:ascii="FrankRuehl" w:hAnsi="FrankRuehl"/>
            <w:color w:val="0000FF"/>
            <w:spacing w:val="0"/>
            <w:sz w:val="24"/>
            <w:szCs w:val="24"/>
            <w:u w:val="single"/>
            <w:rtl/>
          </w:rPr>
          <w:t>111</w:t>
        </w:r>
      </w:hyperlink>
    </w:p>
    <w:p w:rsidR="00AE43E0" w:rsidRPr="006204BE" w:rsidRDefault="00AE43E0" w:rsidP="00AE43E0">
      <w:pPr>
        <w:pStyle w:val="Ruller3"/>
        <w:spacing w:after="120" w:line="240" w:lineRule="exact"/>
        <w:ind w:left="283" w:hanging="283"/>
        <w:jc w:val="both"/>
        <w:rPr>
          <w:rFonts w:ascii="FrankRuehl" w:hAnsi="FrankRuehl"/>
          <w:spacing w:val="0"/>
          <w:sz w:val="24"/>
          <w:szCs w:val="24"/>
          <w:rtl/>
        </w:rPr>
      </w:pPr>
      <w:hyperlink r:id="rId9" w:history="1">
        <w:r w:rsidRPr="006204BE">
          <w:rPr>
            <w:rFonts w:ascii="FrankRuehl" w:hAnsi="FrankRuehl"/>
            <w:color w:val="0000FF"/>
            <w:spacing w:val="0"/>
            <w:sz w:val="24"/>
            <w:szCs w:val="24"/>
            <w:u w:val="single"/>
            <w:rtl/>
          </w:rPr>
          <w:t>חוק חופש המידע, תשנ"ח-1998</w:t>
        </w:r>
      </w:hyperlink>
    </w:p>
    <w:p w:rsidR="00AE43E0" w:rsidRPr="006204BE" w:rsidRDefault="00AE43E0" w:rsidP="00AE43E0">
      <w:pPr>
        <w:pStyle w:val="Ruller3"/>
        <w:spacing w:after="120" w:line="240" w:lineRule="exact"/>
        <w:ind w:left="283" w:hanging="283"/>
        <w:jc w:val="both"/>
        <w:rPr>
          <w:rFonts w:ascii="FrankRuehl" w:hAnsi="FrankRuehl"/>
          <w:spacing w:val="0"/>
          <w:sz w:val="24"/>
          <w:szCs w:val="24"/>
          <w:rtl/>
        </w:rPr>
      </w:pPr>
    </w:p>
    <w:p w:rsidR="00AE43E0" w:rsidRPr="006204BE" w:rsidRDefault="00AE43E0" w:rsidP="00AE43E0">
      <w:pPr>
        <w:pStyle w:val="Ruller3"/>
        <w:rPr>
          <w:rtl/>
        </w:rPr>
      </w:pPr>
      <w:bookmarkStart w:id="6" w:name="LawTable_End"/>
      <w:bookmarkEnd w:id="6"/>
    </w:p>
    <w:p w:rsidR="00AE43E0" w:rsidRPr="006204BE" w:rsidRDefault="00AE43E0" w:rsidP="00AE43E0">
      <w:pPr>
        <w:pStyle w:val="Ruller3"/>
        <w:rPr>
          <w:rtl/>
        </w:rPr>
      </w:pPr>
    </w:p>
    <w:p w:rsidR="00AE43E0" w:rsidRPr="0051179D" w:rsidRDefault="00AE43E0" w:rsidP="00AE43E0">
      <w:pPr>
        <w:pStyle w:val="Ruller3"/>
        <w:rPr>
          <w:rFonts w:ascii="FrankRuehl" w:hAnsi="FrankRuehl"/>
          <w:spacing w:val="0"/>
          <w:sz w:val="24"/>
          <w:szCs w:val="24"/>
          <w:rtl/>
        </w:rPr>
      </w:pPr>
      <w:r w:rsidRPr="006204BE">
        <w:rPr>
          <w:rFonts w:hint="cs"/>
          <w:rtl/>
        </w:rPr>
        <w:t>ן</w:t>
      </w:r>
    </w:p>
    <w:p w:rsidR="00AE43E0" w:rsidRPr="0051179D" w:rsidRDefault="00AE43E0" w:rsidP="00AE43E0">
      <w:pPr>
        <w:pStyle w:val="Ruller3"/>
        <w:rPr>
          <w:rtl/>
        </w:rPr>
      </w:pPr>
    </w:p>
    <w:p w:rsidR="00AE43E0" w:rsidRPr="0051179D" w:rsidRDefault="00AE43E0" w:rsidP="00AE43E0">
      <w:pPr>
        <w:pStyle w:val="Ruller3"/>
        <w:rPr>
          <w:rtl/>
        </w:rPr>
      </w:pPr>
    </w:p>
    <w:p w:rsidR="00AE43E0" w:rsidRPr="0051179D" w:rsidRDefault="00AE43E0" w:rsidP="00AE43E0">
      <w:pPr>
        <w:pStyle w:val="Ruller3"/>
        <w:rPr>
          <w:rFonts w:hint="cs"/>
          <w:rtl/>
        </w:rPr>
      </w:pPr>
    </w:p>
    <w:p w:rsidR="00AE43E0" w:rsidRPr="00807402" w:rsidRDefault="00AE43E0" w:rsidP="00AE43E0">
      <w:pPr>
        <w:pStyle w:val="Ruller3"/>
        <w:rPr>
          <w:rtl/>
        </w:rPr>
      </w:pPr>
    </w:p>
    <w:tbl>
      <w:tblPr>
        <w:bidiVisual/>
        <w:tblW w:w="0" w:type="auto"/>
        <w:tblLook w:val="0000" w:firstRow="0" w:lastRow="0" w:firstColumn="0" w:lastColumn="0" w:noHBand="0" w:noVBand="0"/>
      </w:tblPr>
      <w:tblGrid>
        <w:gridCol w:w="8522"/>
      </w:tblGrid>
      <w:tr w:rsidR="00AE43E0" w:rsidRPr="00A803E5" w:rsidTr="00D135C7">
        <w:tc>
          <w:tcPr>
            <w:tcW w:w="8522" w:type="dxa"/>
          </w:tcPr>
          <w:p w:rsidR="00AE43E0" w:rsidRPr="00807402" w:rsidRDefault="00AE43E0" w:rsidP="00D135C7">
            <w:pPr>
              <w:pStyle w:val="DocumentHead"/>
            </w:pPr>
            <w:bookmarkStart w:id="7" w:name="BeginProtocol"/>
            <w:bookmarkStart w:id="8" w:name="secretary"/>
            <w:bookmarkStart w:id="9" w:name="PsakDin" w:colFirst="0" w:colLast="0"/>
            <w:bookmarkEnd w:id="0"/>
            <w:bookmarkEnd w:id="7"/>
            <w:bookmarkEnd w:id="8"/>
            <w:r w:rsidRPr="00807402">
              <w:rPr>
                <w:rtl/>
              </w:rPr>
              <w:t>החלטה</w:t>
            </w:r>
          </w:p>
        </w:tc>
      </w:tr>
    </w:tbl>
    <w:p w:rsidR="00AE43E0" w:rsidRDefault="00AE43E0" w:rsidP="00AE43E0">
      <w:pPr>
        <w:pStyle w:val="Ruller4"/>
      </w:pPr>
      <w:bookmarkStart w:id="10" w:name="Writer_Name"/>
      <w:bookmarkStart w:id="11" w:name="Start_Write"/>
      <w:bookmarkEnd w:id="9"/>
      <w:bookmarkEnd w:id="10"/>
      <w:bookmarkEnd w:id="11"/>
      <w:r>
        <w:rPr>
          <w:rFonts w:hint="cs"/>
          <w:rtl/>
        </w:rPr>
        <w:tab/>
      </w:r>
    </w:p>
    <w:p w:rsidR="00AE43E0" w:rsidRDefault="00AE43E0" w:rsidP="00AE43E0">
      <w:pPr>
        <w:pStyle w:val="Ruller4"/>
        <w:rPr>
          <w:rFonts w:hint="cs"/>
          <w:rtl/>
        </w:rPr>
      </w:pPr>
      <w:r>
        <w:rPr>
          <w:rFonts w:hint="cs"/>
          <w:rtl/>
        </w:rPr>
        <w:lastRenderedPageBreak/>
        <w:tab/>
        <w:t xml:space="preserve">מונחת לפניי </w:t>
      </w:r>
      <w:bookmarkStart w:id="12" w:name="ABSTRACT_START"/>
      <w:bookmarkEnd w:id="12"/>
      <w:r>
        <w:rPr>
          <w:rFonts w:hint="cs"/>
          <w:rtl/>
        </w:rPr>
        <w:t>בקשה למתן רשות ערעור על החלטות בית המשפט המחוזי מרכז-לוד (</w:t>
      </w:r>
      <w:proofErr w:type="spellStart"/>
      <w:r w:rsidRPr="0051179D">
        <w:rPr>
          <w:color w:val="0000FF"/>
          <w:u w:val="single"/>
          <w:rtl/>
        </w:rPr>
        <w:fldChar w:fldCharType="begin"/>
      </w:r>
      <w:r w:rsidRPr="0051179D">
        <w:rPr>
          <w:color w:val="0000FF"/>
          <w:u w:val="single"/>
          <w:rtl/>
        </w:rPr>
        <w:instrText xml:space="preserve"> </w:instrText>
      </w:r>
      <w:r w:rsidRPr="0051179D">
        <w:rPr>
          <w:color w:val="0000FF"/>
          <w:u w:val="single"/>
        </w:rPr>
        <w:instrText>HYPERLINK</w:instrText>
      </w:r>
      <w:r w:rsidRPr="0051179D">
        <w:rPr>
          <w:color w:val="0000FF"/>
          <w:u w:val="single"/>
          <w:rtl/>
        </w:rPr>
        <w:instrText xml:space="preserve"> "</w:instrText>
      </w:r>
      <w:r w:rsidRPr="0051179D">
        <w:rPr>
          <w:color w:val="0000FF"/>
          <w:u w:val="single"/>
        </w:rPr>
        <w:instrText>http://www.nevo.co.il/case/3952078</w:instrText>
      </w:r>
      <w:r w:rsidRPr="0051179D">
        <w:rPr>
          <w:color w:val="0000FF"/>
          <w:u w:val="single"/>
          <w:rtl/>
        </w:rPr>
        <w:instrText xml:space="preserve">" </w:instrText>
      </w:r>
      <w:r w:rsidRPr="0051179D">
        <w:rPr>
          <w:color w:val="0000FF"/>
          <w:u w:val="single"/>
        </w:rPr>
      </w:r>
      <w:r w:rsidRPr="0051179D">
        <w:rPr>
          <w:color w:val="0000FF"/>
          <w:u w:val="single"/>
          <w:rtl/>
        </w:rPr>
        <w:fldChar w:fldCharType="separate"/>
      </w:r>
      <w:r w:rsidRPr="0051179D">
        <w:rPr>
          <w:rStyle w:val="Hyperlink"/>
          <w:rtl/>
        </w:rPr>
        <w:t>פש"ר</w:t>
      </w:r>
      <w:proofErr w:type="spellEnd"/>
      <w:r w:rsidRPr="0051179D">
        <w:rPr>
          <w:rStyle w:val="Hyperlink"/>
          <w:rtl/>
        </w:rPr>
        <w:t xml:space="preserve"> 49809-09-12</w:t>
      </w:r>
      <w:r w:rsidRPr="0051179D">
        <w:rPr>
          <w:color w:val="0000FF"/>
          <w:u w:val="single"/>
          <w:rtl/>
        </w:rPr>
        <w:fldChar w:fldCharType="end"/>
      </w:r>
      <w:r>
        <w:rPr>
          <w:rFonts w:hint="cs"/>
          <w:rtl/>
        </w:rPr>
        <w:t xml:space="preserve">, </w:t>
      </w:r>
      <w:r>
        <w:rPr>
          <w:rFonts w:ascii="Century" w:hAnsi="Century" w:cs="Miriam" w:hint="cs"/>
          <w:b/>
          <w:spacing w:val="0"/>
          <w:szCs w:val="24"/>
          <w:rtl/>
        </w:rPr>
        <w:t>כב' השופטת ע' וינברג-</w:t>
      </w:r>
      <w:proofErr w:type="spellStart"/>
      <w:r>
        <w:rPr>
          <w:rFonts w:ascii="Century" w:hAnsi="Century" w:cs="Miriam" w:hint="cs"/>
          <w:b/>
          <w:spacing w:val="0"/>
          <w:szCs w:val="24"/>
          <w:rtl/>
        </w:rPr>
        <w:t>נוטוביץ</w:t>
      </w:r>
      <w:proofErr w:type="spellEnd"/>
      <w:r>
        <w:rPr>
          <w:rFonts w:hint="cs"/>
          <w:rtl/>
        </w:rPr>
        <w:t>), לפיהן המנהל המיוחד רשאי להקליט את חקירת המבקשת במשרדו ואין הצדקה להעבירו מתפקידו</w:t>
      </w:r>
      <w:bookmarkStart w:id="13" w:name="ABSTRACT_END"/>
      <w:bookmarkEnd w:id="13"/>
      <w:r>
        <w:rPr>
          <w:rFonts w:hint="cs"/>
          <w:rtl/>
        </w:rPr>
        <w:t>.</w:t>
      </w:r>
    </w:p>
    <w:p w:rsidR="00AE43E0" w:rsidRDefault="00AE43E0" w:rsidP="00AE43E0">
      <w:pPr>
        <w:pStyle w:val="Ruller4"/>
        <w:rPr>
          <w:rFonts w:hint="cs"/>
          <w:rtl/>
        </w:rPr>
      </w:pPr>
    </w:p>
    <w:p w:rsidR="00AE43E0" w:rsidRDefault="00AE43E0" w:rsidP="00AE43E0">
      <w:pPr>
        <w:pStyle w:val="Ruller4"/>
        <w:rPr>
          <w:rFonts w:hint="cs"/>
          <w:rtl/>
        </w:rPr>
      </w:pPr>
      <w:r>
        <w:rPr>
          <w:rFonts w:hint="cs"/>
          <w:rtl/>
        </w:rPr>
        <w:t>1.</w:t>
      </w:r>
      <w:r>
        <w:rPr>
          <w:rFonts w:hint="cs"/>
          <w:rtl/>
        </w:rPr>
        <w:tab/>
        <w:t xml:space="preserve">בית משפט קמא הוציא צו כינוס נכסים למבקשת, במסגרתו מונה משיב 1 כמנהל מיוחד לנכסיה. בסמוך לאחר מכן, הגישה המבקשת בקשה לביטול עיקולים שהוטלו על משכורתה. עמדת המנהל המיוחד הייתה כי בטרם תידון הבקשה, שומה על המבקשת להמציא דו"ח אודות נכסיה וחובותיה וכן להתייצב לחקירה. המבקשת זומנה לחקירה אך לא התייצבה אליה. בהמשך לכך, ולנוכח העדר שיתוף פעולה מצד המבקשת, הגיש המנהל המיוחד בקשה למעצרה. בהחלטת בית משפט קמא נקבע שהמנהל המיוחד יזמן את המבקשת לחקירה במשרדו בתוך 14 ימים, ואם לא תתייצב יוצא נגדה צו מעצר. לאחר שהמבקשת שוב לא התייצבה לחקירה, ולאחר שהוגשה בקשה נוספת למעצרה, נקבע בסופו של דבר מועד חקירתה (להלן: </w:t>
      </w:r>
      <w:r>
        <w:rPr>
          <w:rFonts w:ascii="Century" w:hAnsi="Century" w:cs="Miriam" w:hint="cs"/>
          <w:b/>
          <w:spacing w:val="0"/>
          <w:szCs w:val="24"/>
          <w:rtl/>
        </w:rPr>
        <w:t>החקירה</w:t>
      </w:r>
      <w:r>
        <w:rPr>
          <w:rFonts w:hint="cs"/>
          <w:rtl/>
        </w:rPr>
        <w:t xml:space="preserve">). המנהל המיוחד דאג להקלטת החקירה באמצעות חברה חיצונית. המבקשת התייצבה לחקירה אך כשנודע לה דבר ההקלטה – סירבה להיחקר. המנהל המיוחד ביקש שתעזוב את משרדו, ומשסירבה לעזוב ללא אישור שהגיעה לחקירה, פנה המנהל המיוחד למשטרה על מנת לפנותה ממשרדו. בעקבות כך הגיש המנהל המיוחד בקשה נוספת למעצרה של המבקשת, ואילו המבקשת מצידה הגישה נגדו תלונה במשטרה ובמקביל בקשה להעברתו מתפקידו.  </w:t>
      </w:r>
    </w:p>
    <w:p w:rsidR="00AE43E0" w:rsidRDefault="00AE43E0" w:rsidP="00AE43E0">
      <w:pPr>
        <w:pStyle w:val="Ruller4"/>
        <w:rPr>
          <w:rFonts w:hint="cs"/>
          <w:rtl/>
        </w:rPr>
      </w:pPr>
    </w:p>
    <w:p w:rsidR="00AE43E0" w:rsidRDefault="00AE43E0" w:rsidP="00AE43E0">
      <w:pPr>
        <w:pStyle w:val="Ruller4"/>
        <w:rPr>
          <w:rFonts w:hint="cs"/>
          <w:rtl/>
        </w:rPr>
      </w:pPr>
      <w:r>
        <w:rPr>
          <w:rFonts w:hint="cs"/>
          <w:rtl/>
        </w:rPr>
        <w:tab/>
        <w:t>בהחלטתו, קבע בית המשפט המחוזי כי יש לתת למבקשת הזדמנות נוספת להתייצב לחקירה בפני המנהל המיוחד, אותה יהיה רשאי להקליט, כמקובל. בנוסף נדחתה הבקשה להעברת המנהל המיוחד מתפקידו. נקבע כי אין בעובדה שהמבקשת הגישה נגדו תלונה במשטרה כדי למנוע ממנו להמשיך לכהן כבעל תפקיד בתיק. עוד צוין כי המנהל המיוחד משמש כבעל תפקיד בתיקים רבים ומבצעו כראוי. מכאן הבקשה שבפניי.</w:t>
      </w:r>
    </w:p>
    <w:p w:rsidR="00AE43E0" w:rsidRDefault="00AE43E0" w:rsidP="00AE43E0">
      <w:pPr>
        <w:pStyle w:val="Ruller4"/>
        <w:rPr>
          <w:rFonts w:hint="cs"/>
          <w:rtl/>
        </w:rPr>
      </w:pPr>
    </w:p>
    <w:p w:rsidR="00AE43E0" w:rsidRDefault="00AE43E0" w:rsidP="00AE43E0">
      <w:pPr>
        <w:pStyle w:val="Ruller4"/>
        <w:rPr>
          <w:rFonts w:hint="cs"/>
          <w:rtl/>
        </w:rPr>
      </w:pPr>
      <w:r>
        <w:rPr>
          <w:rFonts w:hint="cs"/>
          <w:rtl/>
        </w:rPr>
        <w:t>2.</w:t>
      </w:r>
      <w:r>
        <w:rPr>
          <w:rFonts w:hint="cs"/>
          <w:rtl/>
        </w:rPr>
        <w:tab/>
        <w:t xml:space="preserve"> המבקשת טוענת כי אין למנהל המיוחד סמכות לחקור אותה בהקלטה במשרדו, בהעדר טעמים מיוחדים ומקור חוקי לכך. חקירתה בהקלטה באופן שרירותי ובהעדר נוהל מסודר מהווה פגיעה בלתי מידתית בזכותה לפרטיות, לשוויון ולהליך הוגן. המבקשת הדגישה את עוינותו של המנהל המיוחד כלפיה, המתבטאת גם בעקשנותו להביא למעצרה ומצדיקה, לשיטתה, את העברתו מתפקידו. </w:t>
      </w:r>
    </w:p>
    <w:p w:rsidR="00AE43E0" w:rsidRDefault="00AE43E0" w:rsidP="00AE43E0">
      <w:pPr>
        <w:pStyle w:val="Ruller4"/>
        <w:rPr>
          <w:rFonts w:hint="cs"/>
          <w:rtl/>
        </w:rPr>
      </w:pPr>
    </w:p>
    <w:p w:rsidR="00AE43E0" w:rsidRDefault="00AE43E0" w:rsidP="00AE43E0">
      <w:pPr>
        <w:pStyle w:val="Ruller4"/>
        <w:rPr>
          <w:rFonts w:hint="cs"/>
          <w:rtl/>
        </w:rPr>
      </w:pPr>
      <w:r>
        <w:rPr>
          <w:rFonts w:hint="cs"/>
          <w:rtl/>
        </w:rPr>
        <w:tab/>
        <w:t xml:space="preserve">בתגובתו, טען המנהל המיוחד כי המבקשת לא מילאה אחר חובותיה בדין מתחילת ההליך ועד היום, ולא שיתפה </w:t>
      </w:r>
      <w:proofErr w:type="spellStart"/>
      <w:r>
        <w:rPr>
          <w:rFonts w:hint="cs"/>
          <w:rtl/>
        </w:rPr>
        <w:t>עימו</w:t>
      </w:r>
      <w:proofErr w:type="spellEnd"/>
      <w:r>
        <w:rPr>
          <w:rFonts w:hint="cs"/>
          <w:rtl/>
        </w:rPr>
        <w:t xml:space="preserve"> פעולה. התנהלות זו היא שהביאה לבקשות למעצרה, ולא מניע אישי כלשהו כנגד המבקשת. לעניין הקלטת החקירה במשרדו הוסיף המנהל המיוחד כי אין כל מניעה בדין לעשות כן. הכונס הרשמי הגיש אף הוא את תגובתו לבקשה, במסגרתה הוצגה עמדה דומה לזו של המנהל המיוחד. </w:t>
      </w:r>
    </w:p>
    <w:p w:rsidR="00AE43E0" w:rsidRDefault="00AE43E0" w:rsidP="00AE43E0">
      <w:pPr>
        <w:pStyle w:val="Ruller4"/>
        <w:rPr>
          <w:rFonts w:hint="cs"/>
          <w:rtl/>
        </w:rPr>
      </w:pPr>
    </w:p>
    <w:p w:rsidR="00AE43E0" w:rsidRDefault="00AE43E0" w:rsidP="00AE43E0">
      <w:pPr>
        <w:pStyle w:val="Ruller4"/>
        <w:rPr>
          <w:rFonts w:hint="cs"/>
          <w:rtl/>
        </w:rPr>
      </w:pPr>
      <w:r>
        <w:rPr>
          <w:rFonts w:hint="cs"/>
          <w:rtl/>
        </w:rPr>
        <w:t>3.</w:t>
      </w:r>
      <w:r>
        <w:rPr>
          <w:rFonts w:hint="cs"/>
          <w:rtl/>
        </w:rPr>
        <w:tab/>
        <w:t xml:space="preserve">המקור הנורמטיבי לחקירה הנידונה הוא </w:t>
      </w:r>
      <w:hyperlink r:id="rId10" w:history="1">
        <w:r w:rsidRPr="006204BE">
          <w:rPr>
            <w:color w:val="0000FF"/>
            <w:u w:val="single"/>
            <w:rtl/>
          </w:rPr>
          <w:t>סעיף 18ג(א)</w:t>
        </w:r>
      </w:hyperlink>
      <w:r>
        <w:rPr>
          <w:rFonts w:hint="cs"/>
          <w:rtl/>
        </w:rPr>
        <w:t xml:space="preserve"> ל</w:t>
      </w:r>
      <w:hyperlink r:id="rId11" w:history="1">
        <w:r w:rsidRPr="0051179D">
          <w:rPr>
            <w:rStyle w:val="Hyperlink"/>
            <w:rtl/>
          </w:rPr>
          <w:t>פקודת פשיטת הרגל</w:t>
        </w:r>
      </w:hyperlink>
      <w:r>
        <w:rPr>
          <w:rFonts w:hint="cs"/>
          <w:rtl/>
        </w:rPr>
        <w:t xml:space="preserve"> [נוסח חדש], התש"ם-1980, הקובע כי "הכונס הרשמי יקיים, לשם הגשת חוות דעתו לבית המשפט, חקירה מקיפה בענייניו של חייב שניתן נגדו צו כינוס, ובכלל זה בדבר הכנסותיו, הוצאותיו, </w:t>
      </w:r>
      <w:proofErr w:type="spellStart"/>
      <w:r>
        <w:rPr>
          <w:rFonts w:hint="cs"/>
          <w:rtl/>
        </w:rPr>
        <w:t>חבויותיו</w:t>
      </w:r>
      <w:proofErr w:type="spellEnd"/>
      <w:r>
        <w:rPr>
          <w:rFonts w:hint="cs"/>
          <w:rtl/>
        </w:rPr>
        <w:t xml:space="preserve"> ונכסיו..." (וראו גם </w:t>
      </w:r>
      <w:hyperlink r:id="rId12" w:history="1">
        <w:r w:rsidRPr="006204BE">
          <w:rPr>
            <w:color w:val="0000FF"/>
            <w:u w:val="single"/>
            <w:rtl/>
          </w:rPr>
          <w:t>תקנה 111</w:t>
        </w:r>
      </w:hyperlink>
      <w:r>
        <w:rPr>
          <w:rFonts w:hint="cs"/>
          <w:rtl/>
        </w:rPr>
        <w:t xml:space="preserve"> ל</w:t>
      </w:r>
      <w:hyperlink r:id="rId13" w:history="1">
        <w:r w:rsidRPr="0051179D">
          <w:rPr>
            <w:rStyle w:val="Hyperlink"/>
            <w:rtl/>
          </w:rPr>
          <w:t>תקנות פשיטת הרגל</w:t>
        </w:r>
      </w:hyperlink>
      <w:r>
        <w:rPr>
          <w:rFonts w:hint="cs"/>
          <w:rtl/>
        </w:rPr>
        <w:t xml:space="preserve">, התשמ"ה-1985 וטופס 23א אליו היא מפנה). הסמכות לקיים חקירה אינה בגדר סוף פסוק. מטבע הדברים, עריכת חקירה דורשת מנגנונים להבטיח את תכליתה, ובראש ובראשונה תיעוד של החקירה. תיעוד זה נועד גם להגן על האינטרס של הנחקר-החייב. כפי שנכתב, "מקובל לערוך פרוטוקול של החקירה, העשוי לשמש את הכונס הרשמי, ובבוא העת את הנאמן, בהליך פשיטת הרגל וניתן להציגו במהלך החקירה הפומבית ולקבל עליו את אישורו של החייב" (ראו: שלמה לוין ואשר </w:t>
      </w:r>
      <w:proofErr w:type="spellStart"/>
      <w:r>
        <w:rPr>
          <w:rFonts w:hint="cs"/>
          <w:rtl/>
        </w:rPr>
        <w:t>גרוניס</w:t>
      </w:r>
      <w:proofErr w:type="spellEnd"/>
      <w:r>
        <w:rPr>
          <w:rFonts w:hint="cs"/>
          <w:rtl/>
        </w:rPr>
        <w:t xml:space="preserve"> </w:t>
      </w:r>
      <w:r>
        <w:rPr>
          <w:rFonts w:ascii="Century" w:hAnsi="Century" w:cs="Miriam" w:hint="cs"/>
          <w:b/>
          <w:spacing w:val="0"/>
          <w:szCs w:val="24"/>
          <w:rtl/>
        </w:rPr>
        <w:t>פשיטת רגל</w:t>
      </w:r>
      <w:r>
        <w:rPr>
          <w:rFonts w:hint="cs"/>
          <w:rtl/>
        </w:rPr>
        <w:t xml:space="preserve">, 130 (מהדורה שלישית, </w:t>
      </w:r>
      <w:proofErr w:type="spellStart"/>
      <w:r>
        <w:rPr>
          <w:rFonts w:hint="cs"/>
          <w:rtl/>
        </w:rPr>
        <w:t>התש"ע</w:t>
      </w:r>
      <w:proofErr w:type="spellEnd"/>
      <w:r>
        <w:rPr>
          <w:rFonts w:hint="cs"/>
          <w:rtl/>
        </w:rPr>
        <w:t xml:space="preserve">)). </w:t>
      </w:r>
    </w:p>
    <w:p w:rsidR="00AE43E0" w:rsidRDefault="00AE43E0" w:rsidP="00AE43E0">
      <w:pPr>
        <w:pStyle w:val="Ruller4"/>
        <w:rPr>
          <w:rFonts w:hint="cs"/>
          <w:rtl/>
        </w:rPr>
      </w:pPr>
    </w:p>
    <w:p w:rsidR="00AE43E0" w:rsidRDefault="00AE43E0" w:rsidP="00AE43E0">
      <w:pPr>
        <w:pStyle w:val="Ruller4"/>
        <w:rPr>
          <w:rFonts w:hint="cs"/>
          <w:rtl/>
        </w:rPr>
      </w:pPr>
      <w:r>
        <w:rPr>
          <w:rFonts w:hint="cs"/>
          <w:rtl/>
        </w:rPr>
        <w:tab/>
        <w:t xml:space="preserve">כעולה מתגובות המנהל המיוחד והכונס הרשמי, לעיתים אף מקובל להקליט את החקירה. אפשרות זו אינה עומדת בסתירה לתכליתה של החקירה, ואף עשויה להשתלב </w:t>
      </w:r>
      <w:proofErr w:type="spellStart"/>
      <w:r>
        <w:rPr>
          <w:rFonts w:hint="cs"/>
          <w:rtl/>
        </w:rPr>
        <w:t>עימה</w:t>
      </w:r>
      <w:proofErr w:type="spellEnd"/>
      <w:r>
        <w:rPr>
          <w:rFonts w:hint="cs"/>
          <w:rtl/>
        </w:rPr>
        <w:t xml:space="preserve">. כפי שציין הכונס הרשמי בתגובתו, תכלית ההקלטה היא תיעוד מלא ומדויק יותר של הדברים – ביחס לתיעוד הדברים הנאמרים בחקירה באמצעות פרוטוקול כתוב. ככלל, זוהי תכלית סבירה וראויה, ובמקרים מסוימים עשויה, כאמור, לשרת גם את אינטרס החייב. נראה כי כך הוא בנסיבות דנא, לנוכח טענות שהעלתה המבקשת לפיהן פרוטוקול הדיון בעניינה לא שיקף את שנאמר בו (ראו תגובת המנהל המיוחד לבקשת המבקשת להעבירו מתפקידו, נספח </w:t>
      </w:r>
      <w:proofErr w:type="spellStart"/>
      <w:r>
        <w:rPr>
          <w:rFonts w:hint="cs"/>
          <w:rtl/>
        </w:rPr>
        <w:t>יב</w:t>
      </w:r>
      <w:proofErr w:type="spellEnd"/>
      <w:r>
        <w:rPr>
          <w:rFonts w:hint="cs"/>
          <w:rtl/>
        </w:rPr>
        <w:t xml:space="preserve"> לבקשה למתן רשות ערעור). אין בכך כדי לומר כי הקלטת החקירה היא מחויבת המציאות, אלא רק כי היא אפשרית ואינה נגועה בפגם עקרוני כשלעצמה. לכך יש להוסיף כי תמלול ההקלטה נשמר בתיק המבקשת ואינו מפורסם ברבים, כך שאין מקום לטענתה בדבר פגיעה בפרטיות. </w:t>
      </w:r>
    </w:p>
    <w:p w:rsidR="00AE43E0" w:rsidRDefault="00AE43E0" w:rsidP="00AE43E0">
      <w:pPr>
        <w:pStyle w:val="Ruller4"/>
        <w:rPr>
          <w:rFonts w:hint="cs"/>
          <w:rtl/>
        </w:rPr>
      </w:pPr>
    </w:p>
    <w:p w:rsidR="00AE43E0" w:rsidRDefault="00AE43E0" w:rsidP="00AE43E0">
      <w:pPr>
        <w:pStyle w:val="Ruller4"/>
        <w:rPr>
          <w:rFonts w:hint="cs"/>
          <w:rtl/>
        </w:rPr>
      </w:pPr>
      <w:r>
        <w:rPr>
          <w:rFonts w:hint="cs"/>
          <w:rtl/>
        </w:rPr>
        <w:lastRenderedPageBreak/>
        <w:tab/>
        <w:t xml:space="preserve">ויובהר, כי ייתכן והסתייגותו של נחקר מהקלטת חקירתו עשויה להצדיק אי נקיטת כלי עזר זה. אך בענייננו, הסברה של המבקשת אינו משכנע ונשען על טענה כללית של פרטיות והעדר מקור חוקי. עמדה זו אינה מקובלת עליי, שכן בהתחשב במהות החקירה, שנערכת על ידי המנהל המיוחד, אין סיבה או הצדקה לשלול תיעוד באמצעות הקלטה באופן גורף. העדר מקור ישיר להתיר הקלטה מעין זו אין בו כדי לשלול את השימוש במנגנון זה, אשר נגזר כאמור מהסמכות הכללית לקיום החקירה. </w:t>
      </w:r>
    </w:p>
    <w:p w:rsidR="00AE43E0" w:rsidRDefault="00AE43E0" w:rsidP="00AE43E0">
      <w:pPr>
        <w:pStyle w:val="Ruller4"/>
        <w:rPr>
          <w:rFonts w:hint="cs"/>
          <w:rtl/>
        </w:rPr>
      </w:pPr>
    </w:p>
    <w:p w:rsidR="00AE43E0" w:rsidRDefault="00AE43E0" w:rsidP="00AE43E0">
      <w:pPr>
        <w:pStyle w:val="Ruller4"/>
        <w:rPr>
          <w:rFonts w:hint="cs"/>
          <w:rtl/>
        </w:rPr>
      </w:pPr>
      <w:r>
        <w:rPr>
          <w:rFonts w:hint="cs"/>
          <w:rtl/>
        </w:rPr>
        <w:t>4.</w:t>
      </w:r>
      <w:r>
        <w:rPr>
          <w:rFonts w:hint="cs"/>
          <w:rtl/>
        </w:rPr>
        <w:tab/>
        <w:t xml:space="preserve">בטרם סיום, שתי הערות. </w:t>
      </w:r>
      <w:r>
        <w:rPr>
          <w:rFonts w:ascii="Times New Roman" w:hAnsi="Times New Roman" w:cs="Miriam" w:hint="cs"/>
          <w:spacing w:val="0"/>
          <w:sz w:val="28"/>
          <w:szCs w:val="24"/>
          <w:rtl/>
        </w:rPr>
        <w:t>האחת</w:t>
      </w:r>
      <w:r>
        <w:rPr>
          <w:rFonts w:hint="cs"/>
          <w:rtl/>
        </w:rPr>
        <w:t xml:space="preserve">, לא מצאתי כי יש בסיס לדרישת המבקשת להעברת המנהל המיוחד מתפקידו. מעיון בחומר עולה כי המנהל המיוחד מבצע את תפקידו נאמנה, בעוד שעל פני הדברים, דווקא המבקשת היא זו שאינה מפנימה את חובותיה – היא אינה מגישה דו"חות, אינה משלמת לקופת הכינוס ואינה מאפשרת את עריכת חקירתה. טענת המבקשת שלפיה יש להעביר את המנהל המיוחד מתפקידו דינה, אפוא, להידחות. </w:t>
      </w:r>
      <w:r>
        <w:rPr>
          <w:rFonts w:ascii="Times New Roman" w:hAnsi="Times New Roman" w:cs="Miriam" w:hint="cs"/>
          <w:spacing w:val="0"/>
          <w:sz w:val="28"/>
          <w:szCs w:val="24"/>
          <w:rtl/>
        </w:rPr>
        <w:t>האחרת</w:t>
      </w:r>
      <w:r>
        <w:rPr>
          <w:rFonts w:hint="cs"/>
          <w:rtl/>
        </w:rPr>
        <w:t xml:space="preserve">, כי המבקשת לא ביססה את טענתה בדבר הפליה לעומת נחקרים אחרים לעניין הקלטת החקירה. כמו כן, הליך זה אינו המסגרת לבחון את בקשת המבקשת למסירת מידע שבידי כונס הנכסים הרשמי על פי </w:t>
      </w:r>
      <w:hyperlink r:id="rId14" w:history="1">
        <w:r w:rsidRPr="0051179D">
          <w:rPr>
            <w:rStyle w:val="Hyperlink"/>
            <w:rtl/>
          </w:rPr>
          <w:t>חוק חופש המידע</w:t>
        </w:r>
      </w:hyperlink>
      <w:r>
        <w:rPr>
          <w:rFonts w:hint="cs"/>
          <w:rtl/>
        </w:rPr>
        <w:t xml:space="preserve">, התשנ"ח-1998, וזאת מבלי להביע כל עמדה ביחס לסיכויי עתירה כזו, היה ותוגש. </w:t>
      </w:r>
    </w:p>
    <w:p w:rsidR="00AE43E0" w:rsidRDefault="00AE43E0" w:rsidP="00AE43E0">
      <w:pPr>
        <w:pStyle w:val="Ruller4"/>
        <w:rPr>
          <w:rFonts w:hint="cs"/>
          <w:rtl/>
        </w:rPr>
      </w:pPr>
    </w:p>
    <w:p w:rsidR="00AE43E0" w:rsidRDefault="00AE43E0" w:rsidP="00AE43E0">
      <w:pPr>
        <w:pStyle w:val="Ruller4"/>
        <w:rPr>
          <w:rFonts w:hint="cs"/>
          <w:rtl/>
        </w:rPr>
      </w:pPr>
      <w:r>
        <w:rPr>
          <w:rFonts w:hint="cs"/>
          <w:rtl/>
        </w:rPr>
        <w:tab/>
        <w:t xml:space="preserve">על רקע האמור, אין מקום להיעתר לבקשה למתן רשות ערעור. בקשה זו, כשמה כן היא. אין ערעור בזכות. על המבקש בקשה כזו לשכנע את בית המשפט כי יש מקום להעניק רשות ערעור מקום שהדין אינו מחייב זאת. המבקשת לא צלחה משוכה זו. </w:t>
      </w:r>
    </w:p>
    <w:p w:rsidR="00AE43E0" w:rsidRDefault="00AE43E0" w:rsidP="00AE43E0">
      <w:pPr>
        <w:pStyle w:val="Ruller4"/>
        <w:rPr>
          <w:rFonts w:hint="cs"/>
          <w:rtl/>
        </w:rPr>
      </w:pPr>
    </w:p>
    <w:p w:rsidR="00AE43E0" w:rsidRDefault="00AE43E0" w:rsidP="00AE43E0">
      <w:pPr>
        <w:pStyle w:val="Ruller4"/>
        <w:rPr>
          <w:rFonts w:hint="cs"/>
          <w:rtl/>
        </w:rPr>
      </w:pPr>
      <w:r>
        <w:rPr>
          <w:rFonts w:hint="cs"/>
          <w:rtl/>
        </w:rPr>
        <w:t>5.</w:t>
      </w:r>
      <w:r>
        <w:rPr>
          <w:rFonts w:hint="cs"/>
          <w:rtl/>
        </w:rPr>
        <w:tab/>
        <w:t xml:space="preserve">אשר על כן, הבקשה נדחית. החלטתי, ולא בלי לבטים, שלא </w:t>
      </w:r>
      <w:proofErr w:type="spellStart"/>
      <w:r>
        <w:rPr>
          <w:rFonts w:hint="cs"/>
          <w:rtl/>
        </w:rPr>
        <w:t>ליתן</w:t>
      </w:r>
      <w:proofErr w:type="spellEnd"/>
      <w:r>
        <w:rPr>
          <w:rFonts w:hint="cs"/>
          <w:rtl/>
        </w:rPr>
        <w:t xml:space="preserve"> צו להוצאות. </w:t>
      </w:r>
    </w:p>
    <w:p w:rsidR="00AE43E0" w:rsidRDefault="00AE43E0" w:rsidP="00AE43E0">
      <w:pPr>
        <w:pStyle w:val="Ruller4"/>
        <w:rPr>
          <w:rFonts w:hint="cs"/>
          <w:rtl/>
        </w:rPr>
      </w:pPr>
    </w:p>
    <w:p w:rsidR="00AE43E0" w:rsidRDefault="00AE43E0" w:rsidP="00AE43E0">
      <w:pPr>
        <w:pStyle w:val="Ruller4"/>
        <w:rPr>
          <w:rtl/>
        </w:rPr>
      </w:pPr>
      <w:r w:rsidRPr="00807402">
        <w:rPr>
          <w:color w:val="FFFFFF"/>
          <w:sz w:val="2"/>
          <w:szCs w:val="2"/>
          <w:rtl/>
        </w:rPr>
        <w:t>5129371</w:t>
      </w:r>
      <w:r>
        <w:rPr>
          <w:rtl/>
        </w:rPr>
        <w:t xml:space="preserve">ניתנה היום, י"ז בחשוון </w:t>
      </w:r>
      <w:proofErr w:type="spellStart"/>
      <w:r>
        <w:rPr>
          <w:rtl/>
        </w:rPr>
        <w:t>התשע"ה</w:t>
      </w:r>
      <w:proofErr w:type="spellEnd"/>
      <w:r>
        <w:rPr>
          <w:rtl/>
        </w:rPr>
        <w:t xml:space="preserve"> (10.11.2014). </w:t>
      </w:r>
    </w:p>
    <w:tbl>
      <w:tblPr>
        <w:bidiVisual/>
        <w:tblW w:w="0" w:type="auto"/>
        <w:tblLook w:val="01E0" w:firstRow="1" w:lastRow="1" w:firstColumn="1" w:lastColumn="1" w:noHBand="0" w:noVBand="0"/>
      </w:tblPr>
      <w:tblGrid>
        <w:gridCol w:w="2840"/>
        <w:gridCol w:w="2841"/>
        <w:gridCol w:w="2841"/>
      </w:tblGrid>
      <w:tr w:rsidR="00AE43E0" w:rsidRPr="00A803E5" w:rsidTr="00D135C7">
        <w:tc>
          <w:tcPr>
            <w:tcW w:w="2842" w:type="dxa"/>
          </w:tcPr>
          <w:p w:rsidR="00AE43E0" w:rsidRPr="00A803E5" w:rsidRDefault="00AE43E0" w:rsidP="00D135C7">
            <w:pPr>
              <w:pStyle w:val="Ruller4"/>
              <w:rPr>
                <w:color w:val="FFFFFF"/>
                <w:sz w:val="2"/>
                <w:szCs w:val="2"/>
              </w:rPr>
            </w:pPr>
            <w:r w:rsidRPr="00A803E5">
              <w:rPr>
                <w:color w:val="FFFFFF"/>
                <w:sz w:val="2"/>
                <w:szCs w:val="2"/>
                <w:rtl/>
              </w:rPr>
              <w:t>54678313</w:t>
            </w:r>
          </w:p>
        </w:tc>
        <w:tc>
          <w:tcPr>
            <w:tcW w:w="2843" w:type="dxa"/>
          </w:tcPr>
          <w:p w:rsidR="00AE43E0" w:rsidRDefault="00AE43E0" w:rsidP="00D135C7">
            <w:pPr>
              <w:pStyle w:val="Ruller4"/>
            </w:pPr>
          </w:p>
        </w:tc>
        <w:tc>
          <w:tcPr>
            <w:tcW w:w="2843" w:type="dxa"/>
          </w:tcPr>
          <w:p w:rsidR="00AE43E0" w:rsidRDefault="00AE43E0" w:rsidP="00D135C7">
            <w:pPr>
              <w:pStyle w:val="Ruller4"/>
              <w:jc w:val="center"/>
            </w:pPr>
            <w:r>
              <w:rPr>
                <w:rFonts w:hint="cs"/>
                <w:rtl/>
              </w:rPr>
              <w:t>ש ו פ ט</w:t>
            </w:r>
          </w:p>
        </w:tc>
      </w:tr>
    </w:tbl>
    <w:p w:rsidR="00AE43E0" w:rsidRDefault="00AE43E0" w:rsidP="00AE43E0">
      <w:pPr>
        <w:pStyle w:val="Ruller4"/>
        <w:rPr>
          <w:rFonts w:hint="cs"/>
          <w:rtl/>
        </w:rPr>
      </w:pPr>
    </w:p>
    <w:p w:rsidR="00AE43E0" w:rsidRDefault="00AE43E0" w:rsidP="00AE43E0">
      <w:pPr>
        <w:rPr>
          <w:rFonts w:hint="cs"/>
          <w:szCs w:val="16"/>
          <w:rtl/>
        </w:rPr>
      </w:pPr>
      <w:r>
        <w:rPr>
          <w:rFonts w:hint="cs"/>
          <w:szCs w:val="16"/>
          <w:rtl/>
        </w:rPr>
        <w:t>_________________________</w:t>
      </w:r>
    </w:p>
    <w:p w:rsidR="00AE43E0" w:rsidRDefault="00AE43E0" w:rsidP="00AE43E0">
      <w:pPr>
        <w:pStyle w:val="Ruller38"/>
        <w:rPr>
          <w:rFonts w:hint="cs"/>
          <w:rtl/>
        </w:rPr>
      </w:pPr>
      <w:r>
        <w:rPr>
          <w:rFonts w:hint="cs"/>
          <w:rtl/>
        </w:rPr>
        <w:t>העותק כפוף לשינויי עריכה וניסוח.</w:t>
      </w:r>
      <w:r>
        <w:rPr>
          <w:rFonts w:hint="cs"/>
          <w:sz w:val="16"/>
        </w:rPr>
        <w:t xml:space="preserve"> </w:t>
      </w:r>
      <w:r>
        <w:rPr>
          <w:sz w:val="16"/>
        </w:rPr>
        <w:t xml:space="preserve">  </w:t>
      </w:r>
      <w:bookmarkStart w:id="14" w:name="FileName"/>
      <w:r>
        <w:rPr>
          <w:sz w:val="16"/>
        </w:rPr>
        <w:t xml:space="preserve">14029430_Z06.doc   </w:t>
      </w:r>
      <w:bookmarkEnd w:id="14"/>
      <w:r>
        <w:rPr>
          <w:rFonts w:hint="cs"/>
          <w:sz w:val="16"/>
          <w:rtl/>
        </w:rPr>
        <w:t>סה</w:t>
      </w:r>
    </w:p>
    <w:p w:rsidR="00AE43E0" w:rsidRDefault="00AE43E0" w:rsidP="00AE43E0">
      <w:pPr>
        <w:pStyle w:val="Ruller38"/>
        <w:rPr>
          <w:rFonts w:hint="cs"/>
          <w:rtl/>
        </w:rPr>
      </w:pPr>
      <w:r>
        <w:rPr>
          <w:rFonts w:hint="cs"/>
          <w:rtl/>
        </w:rPr>
        <w:t xml:space="preserve">מרכז מידע, טל' 077-2703333 ; אתר אינטרנט,  </w:t>
      </w:r>
      <w:r w:rsidRPr="00E673D7">
        <w:rPr>
          <w:color w:val="000000"/>
          <w:sz w:val="16"/>
        </w:rPr>
        <w:t>www.court.gov.il</w:t>
      </w:r>
    </w:p>
    <w:p w:rsidR="00AE43E0" w:rsidRPr="00807402" w:rsidRDefault="00AE43E0" w:rsidP="00AE43E0">
      <w:pPr>
        <w:pStyle w:val="Ruller38"/>
        <w:keepNext/>
        <w:rPr>
          <w:rFonts w:ascii="David" w:hAnsi="David" w:hint="cs"/>
          <w:color w:val="000000"/>
          <w:szCs w:val="22"/>
          <w:rtl/>
        </w:rPr>
      </w:pPr>
    </w:p>
    <w:p w:rsidR="00AE43E0" w:rsidRPr="00807402" w:rsidRDefault="00AE43E0" w:rsidP="00AE43E0">
      <w:pPr>
        <w:pStyle w:val="Ruller38"/>
        <w:keepNext/>
        <w:rPr>
          <w:rFonts w:ascii="David" w:hAnsi="David"/>
          <w:color w:val="000000"/>
          <w:szCs w:val="22"/>
          <w:rtl/>
        </w:rPr>
      </w:pPr>
      <w:r w:rsidRPr="00807402">
        <w:rPr>
          <w:rFonts w:ascii="David" w:hAnsi="David"/>
          <w:color w:val="000000"/>
          <w:szCs w:val="22"/>
          <w:rtl/>
        </w:rPr>
        <w:t>נ' הנדל 54678313-2943/14</w:t>
      </w:r>
    </w:p>
    <w:p w:rsidR="00AE43E0" w:rsidRDefault="00AE43E0" w:rsidP="00AE43E0">
      <w:pPr>
        <w:pStyle w:val="Ruller38"/>
        <w:rPr>
          <w:rtl/>
        </w:rPr>
      </w:pPr>
      <w:r w:rsidRPr="00807402">
        <w:rPr>
          <w:color w:val="000000"/>
          <w:rtl/>
        </w:rPr>
        <w:t>נוסח מסמך זה כפוף לשינויי ניסוח ועריכה</w:t>
      </w:r>
    </w:p>
    <w:p w:rsidR="00AE43E0" w:rsidRDefault="00AE43E0" w:rsidP="00AE43E0">
      <w:pPr>
        <w:pStyle w:val="Ruller38"/>
        <w:rPr>
          <w:rtl/>
        </w:rPr>
      </w:pPr>
    </w:p>
    <w:p w:rsidR="00AE43E0" w:rsidRDefault="00AE43E0" w:rsidP="00AE43E0">
      <w:pPr>
        <w:pStyle w:val="Ruller38"/>
        <w:jc w:val="center"/>
        <w:rPr>
          <w:color w:val="0000FF"/>
          <w:szCs w:val="24"/>
          <w:u w:val="single"/>
          <w:rtl/>
        </w:rPr>
      </w:pPr>
      <w:r w:rsidRPr="00E673D7">
        <w:rPr>
          <w:color w:val="000000"/>
          <w:szCs w:val="24"/>
          <w:rtl/>
        </w:rPr>
        <w:t>בעניין עריכה ושינויים במסמכי פסיקה, חקיקה ועוד באתר נבו – הקש כאן</w:t>
      </w:r>
    </w:p>
    <w:p w:rsidR="00AE43E0" w:rsidRPr="00807402" w:rsidRDefault="00AE43E0" w:rsidP="00AE43E0">
      <w:pPr>
        <w:pStyle w:val="Ruller38"/>
        <w:jc w:val="center"/>
        <w:rPr>
          <w:rFonts w:hint="cs"/>
          <w:color w:val="0000FF"/>
          <w:szCs w:val="24"/>
          <w:u w:val="single"/>
          <w:rtl/>
        </w:rPr>
      </w:pPr>
    </w:p>
    <w:p w:rsidR="008C3166" w:rsidRDefault="008C3166">
      <w:bookmarkStart w:id="15" w:name="_GoBack"/>
      <w:bookmarkEnd w:id="15"/>
    </w:p>
    <w:sectPr w:rsidR="008C3166" w:rsidSect="00807402">
      <w:headerReference w:type="even" r:id="rId15"/>
      <w:headerReference w:type="default" r:id="rId16"/>
      <w:footerReference w:type="even" r:id="rId17"/>
      <w:footerReference w:type="default" r:id="rId18"/>
      <w:endnotePr>
        <w:numFmt w:val="lowerLetter"/>
      </w:endnotePr>
      <w:pgSz w:w="11906" w:h="16838"/>
      <w:pgMar w:top="1701" w:right="1800" w:bottom="1440" w:left="1800" w:header="708" w:footer="708" w:gutter="0"/>
      <w:pgNumType w:start="1"/>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Arial TUR">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02" w:rsidRDefault="00AE43E0" w:rsidP="00807402">
    <w:pPr>
      <w:pStyle w:val="a6"/>
      <w:jc w:val="center"/>
      <w:rPr>
        <w:rFonts w:ascii="FrankRuehl" w:hAnsi="FrankRuehl" w:cs="FrankRuehl"/>
        <w:sz w:val="24"/>
      </w:rPr>
    </w:pPr>
    <w:r>
      <w:rPr>
        <w:rFonts w:ascii="FrankRuehl" w:hAnsi="FrankRuehl" w:cs="FrankRuehl"/>
        <w:sz w:val="24"/>
        <w:rtl/>
      </w:rPr>
      <w:fldChar w:fldCharType="begin"/>
    </w:r>
    <w:r>
      <w:rPr>
        <w:rFonts w:ascii="FrankRuehl" w:hAnsi="FrankRuehl" w:cs="FrankRuehl"/>
        <w:sz w:val="24"/>
        <w:rtl/>
      </w:rPr>
      <w:instrText xml:space="preserve"> </w:instrText>
    </w:r>
    <w:r>
      <w:rPr>
        <w:rFonts w:ascii="FrankRuehl" w:hAnsi="FrankRuehl" w:cs="FrankRuehl"/>
        <w:sz w:val="24"/>
      </w:rPr>
      <w:instrText>PA</w:instrText>
    </w:r>
    <w:r>
      <w:rPr>
        <w:rFonts w:ascii="FrankRuehl" w:hAnsi="FrankRuehl" w:cs="FrankRuehl"/>
        <w:sz w:val="24"/>
      </w:rPr>
      <w:instrText>GE</w:instrText>
    </w:r>
    <w:r>
      <w:rPr>
        <w:rFonts w:ascii="FrankRuehl" w:hAnsi="FrankRuehl" w:cs="FrankRuehl"/>
        <w:sz w:val="24"/>
        <w:rtl/>
      </w:rPr>
      <w:instrText xml:space="preserve">  \* </w:instrText>
    </w:r>
    <w:r>
      <w:rPr>
        <w:rFonts w:ascii="FrankRuehl" w:hAnsi="FrankRuehl" w:cs="FrankRuehl"/>
        <w:sz w:val="24"/>
      </w:rPr>
      <w:instrText>MERGEFORMAT</w:instrText>
    </w:r>
    <w:r>
      <w:rPr>
        <w:rFonts w:ascii="FrankRuehl" w:hAnsi="FrankRuehl" w:cs="FrankRuehl"/>
        <w:sz w:val="24"/>
        <w:rtl/>
      </w:rPr>
      <w:instrText xml:space="preserve"> </w:instrText>
    </w:r>
    <w:r>
      <w:rPr>
        <w:rFonts w:ascii="FrankRuehl" w:hAnsi="FrankRuehl" w:cs="FrankRuehl"/>
        <w:sz w:val="24"/>
        <w:rtl/>
      </w:rPr>
      <w:fldChar w:fldCharType="separate"/>
    </w:r>
    <w:r>
      <w:rPr>
        <w:rFonts w:ascii="FrankRuehl" w:hAnsi="FrankRuehl" w:cs="FrankRuehl"/>
        <w:noProof/>
        <w:sz w:val="24"/>
        <w:rtl/>
      </w:rPr>
      <w:t>2</w:t>
    </w:r>
    <w:r>
      <w:rPr>
        <w:rFonts w:ascii="FrankRuehl" w:hAnsi="FrankRuehl" w:cs="FrankRuehl"/>
        <w:sz w:val="24"/>
        <w:rtl/>
      </w:rPr>
      <w:fldChar w:fldCharType="end"/>
    </w:r>
  </w:p>
  <w:p w:rsidR="00807402" w:rsidRPr="00807402" w:rsidRDefault="00AE43E0" w:rsidP="00807402">
    <w:pPr>
      <w:pStyle w:val="a6"/>
      <w:pBdr>
        <w:top w:val="single" w:sz="4" w:space="1" w:color="auto"/>
        <w:between w:val="single" w:sz="4" w:space="0" w:color="auto"/>
      </w:pBdr>
      <w:spacing w:after="60"/>
      <w:jc w:val="center"/>
      <w:rPr>
        <w:rFonts w:ascii="FrankRuehl" w:hAnsi="FrankRuehl" w:cs="FrankRuehl"/>
        <w:color w:val="000000"/>
        <w:sz w:val="24"/>
      </w:rPr>
    </w:pPr>
    <w:r>
      <w:rPr>
        <w:rFonts w:ascii="FrankRuehl" w:hAnsi="FrankRuehl" w:cs="FrankRuehl"/>
        <w:noProof/>
        <w:color w:val="000000"/>
        <w:sz w:val="24"/>
      </w:rPr>
      <w:drawing>
        <wp:inline distT="0" distB="0" distL="0" distR="0">
          <wp:extent cx="556260" cy="228600"/>
          <wp:effectExtent l="0" t="0" r="0" b="0"/>
          <wp:docPr id="2" name="תמונה 2" descr="Nev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v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228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02" w:rsidRDefault="00AE43E0" w:rsidP="00807402">
    <w:pPr>
      <w:pStyle w:val="a6"/>
      <w:jc w:val="center"/>
      <w:rPr>
        <w:rFonts w:ascii="FrankRuehl" w:hAnsi="FrankRuehl" w:cs="FrankRuehl"/>
        <w:sz w:val="24"/>
      </w:rPr>
    </w:pPr>
    <w:r>
      <w:rPr>
        <w:rFonts w:ascii="FrankRuehl" w:hAnsi="FrankRuehl" w:cs="FrankRuehl"/>
        <w:sz w:val="24"/>
        <w:rtl/>
      </w:rPr>
      <w:fldChar w:fldCharType="begin"/>
    </w:r>
    <w:r>
      <w:rPr>
        <w:rFonts w:ascii="FrankRuehl" w:hAnsi="FrankRuehl" w:cs="FrankRuehl"/>
        <w:sz w:val="24"/>
        <w:rtl/>
      </w:rPr>
      <w:instrText xml:space="preserve"> </w:instrText>
    </w:r>
    <w:r>
      <w:rPr>
        <w:rFonts w:ascii="FrankRuehl" w:hAnsi="FrankRuehl" w:cs="FrankRuehl"/>
        <w:sz w:val="24"/>
      </w:rPr>
      <w:instrText>PAGE</w:instrText>
    </w:r>
    <w:r>
      <w:rPr>
        <w:rFonts w:ascii="FrankRuehl" w:hAnsi="FrankRuehl" w:cs="FrankRuehl"/>
        <w:sz w:val="24"/>
        <w:rtl/>
      </w:rPr>
      <w:instrText xml:space="preserve">  \* </w:instrText>
    </w:r>
    <w:r>
      <w:rPr>
        <w:rFonts w:ascii="FrankRuehl" w:hAnsi="FrankRuehl" w:cs="FrankRuehl"/>
        <w:sz w:val="24"/>
      </w:rPr>
      <w:instrText>MERGEFORMAT</w:instrText>
    </w:r>
    <w:r>
      <w:rPr>
        <w:rFonts w:ascii="FrankRuehl" w:hAnsi="FrankRuehl" w:cs="FrankRuehl"/>
        <w:sz w:val="24"/>
        <w:rtl/>
      </w:rPr>
      <w:instrText xml:space="preserve"> </w:instrText>
    </w:r>
    <w:r>
      <w:rPr>
        <w:rFonts w:ascii="FrankRuehl" w:hAnsi="FrankRuehl" w:cs="FrankRuehl"/>
        <w:sz w:val="24"/>
        <w:rtl/>
      </w:rPr>
      <w:fldChar w:fldCharType="separate"/>
    </w:r>
    <w:r>
      <w:rPr>
        <w:rFonts w:ascii="FrankRuehl" w:hAnsi="FrankRuehl" w:cs="FrankRuehl"/>
        <w:noProof/>
        <w:sz w:val="24"/>
        <w:rtl/>
      </w:rPr>
      <w:t>1</w:t>
    </w:r>
    <w:r>
      <w:rPr>
        <w:rFonts w:ascii="FrankRuehl" w:hAnsi="FrankRuehl" w:cs="FrankRuehl"/>
        <w:sz w:val="24"/>
        <w:rtl/>
      </w:rPr>
      <w:fldChar w:fldCharType="end"/>
    </w:r>
  </w:p>
  <w:p w:rsidR="00807402" w:rsidRPr="00807402" w:rsidRDefault="00AE43E0" w:rsidP="00807402">
    <w:pPr>
      <w:pStyle w:val="a6"/>
      <w:pBdr>
        <w:top w:val="single" w:sz="4" w:space="1" w:color="auto"/>
        <w:between w:val="single" w:sz="4" w:space="0" w:color="auto"/>
      </w:pBdr>
      <w:spacing w:after="60"/>
      <w:jc w:val="center"/>
      <w:rPr>
        <w:rFonts w:ascii="FrankRuehl" w:hAnsi="FrankRuehl" w:cs="FrankRuehl"/>
        <w:color w:val="000000"/>
        <w:sz w:val="24"/>
      </w:rPr>
    </w:pPr>
    <w:r>
      <w:rPr>
        <w:rFonts w:ascii="FrankRuehl" w:hAnsi="FrankRuehl" w:cs="FrankRuehl"/>
        <w:noProof/>
        <w:color w:val="000000"/>
        <w:sz w:val="24"/>
      </w:rPr>
      <w:drawing>
        <wp:inline distT="0" distB="0" distL="0" distR="0">
          <wp:extent cx="556260" cy="228600"/>
          <wp:effectExtent l="0" t="0" r="0" b="0"/>
          <wp:docPr id="1" name="תמונה 1" descr="Nev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v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22860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02" w:rsidRPr="00807402" w:rsidRDefault="00AE43E0" w:rsidP="00807402">
    <w:pPr>
      <w:pStyle w:val="a4"/>
      <w:pBdr>
        <w:bottom w:val="single" w:sz="4" w:space="1" w:color="auto"/>
      </w:pBdr>
      <w:tabs>
        <w:tab w:val="clear" w:pos="4153"/>
        <w:tab w:val="clear" w:pos="8306"/>
        <w:tab w:val="right" w:pos="8311"/>
      </w:tabs>
      <w:spacing w:line="220" w:lineRule="exact"/>
      <w:rPr>
        <w:rFonts w:ascii="David" w:hAnsi="David"/>
        <w:color w:val="000000"/>
        <w:sz w:val="22"/>
        <w:szCs w:val="22"/>
        <w:rtl/>
      </w:rPr>
    </w:pPr>
    <w:proofErr w:type="spellStart"/>
    <w:r>
      <w:rPr>
        <w:rFonts w:ascii="David" w:hAnsi="David"/>
        <w:color w:val="000000"/>
        <w:sz w:val="22"/>
        <w:szCs w:val="22"/>
        <w:rtl/>
      </w:rPr>
      <w:t>רעא</w:t>
    </w:r>
    <w:proofErr w:type="spellEnd"/>
    <w:r>
      <w:rPr>
        <w:rFonts w:ascii="David" w:hAnsi="David"/>
        <w:color w:val="000000"/>
        <w:sz w:val="22"/>
        <w:szCs w:val="22"/>
        <w:rtl/>
      </w:rPr>
      <w:t xml:space="preserve"> 2943/14 </w:t>
    </w:r>
    <w:r>
      <w:rPr>
        <w:rFonts w:ascii="David" w:hAnsi="David"/>
        <w:color w:val="000000"/>
        <w:sz w:val="22"/>
        <w:szCs w:val="22"/>
        <w:rtl/>
      </w:rPr>
      <w:tab/>
      <w:t xml:space="preserve"> שולמית אייל נ' יניב </w:t>
    </w:r>
    <w:proofErr w:type="spellStart"/>
    <w:r>
      <w:rPr>
        <w:rFonts w:ascii="David" w:hAnsi="David"/>
        <w:color w:val="000000"/>
        <w:sz w:val="22"/>
        <w:szCs w:val="22"/>
        <w:rtl/>
      </w:rPr>
      <w:t>אינסל</w:t>
    </w:r>
    <w:proofErr w:type="spellEnd"/>
    <w:r>
      <w:rPr>
        <w:rFonts w:ascii="David" w:hAnsi="David"/>
        <w:color w:val="000000"/>
        <w:sz w:val="22"/>
        <w:szCs w:val="22"/>
        <w:rtl/>
      </w:rPr>
      <w:t xml:space="preserve"> , מנהל מיוחד</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02" w:rsidRPr="00807402" w:rsidRDefault="00AE43E0" w:rsidP="00807402">
    <w:pPr>
      <w:pStyle w:val="a4"/>
      <w:pBdr>
        <w:bottom w:val="single" w:sz="4" w:space="1" w:color="auto"/>
      </w:pBdr>
      <w:tabs>
        <w:tab w:val="clear" w:pos="4153"/>
        <w:tab w:val="clear" w:pos="8306"/>
        <w:tab w:val="right" w:pos="8311"/>
      </w:tabs>
      <w:spacing w:line="220" w:lineRule="exact"/>
      <w:rPr>
        <w:rFonts w:ascii="David" w:hAnsi="David"/>
        <w:color w:val="000000"/>
        <w:sz w:val="22"/>
        <w:szCs w:val="22"/>
        <w:rtl/>
      </w:rPr>
    </w:pPr>
    <w:proofErr w:type="spellStart"/>
    <w:r>
      <w:rPr>
        <w:rFonts w:ascii="David" w:hAnsi="David"/>
        <w:color w:val="000000"/>
        <w:sz w:val="22"/>
        <w:szCs w:val="22"/>
        <w:rtl/>
      </w:rPr>
      <w:t>רעא</w:t>
    </w:r>
    <w:proofErr w:type="spellEnd"/>
    <w:r>
      <w:rPr>
        <w:rFonts w:ascii="David" w:hAnsi="David"/>
        <w:color w:val="000000"/>
        <w:sz w:val="22"/>
        <w:szCs w:val="22"/>
        <w:rtl/>
      </w:rPr>
      <w:t xml:space="preserve"> 2943/14 </w:t>
    </w:r>
    <w:r>
      <w:rPr>
        <w:rFonts w:ascii="David" w:hAnsi="David"/>
        <w:color w:val="000000"/>
        <w:sz w:val="22"/>
        <w:szCs w:val="22"/>
        <w:rtl/>
      </w:rPr>
      <w:tab/>
      <w:t xml:space="preserve"> שולמית אייל נ' יניב </w:t>
    </w:r>
    <w:proofErr w:type="spellStart"/>
    <w:r>
      <w:rPr>
        <w:rFonts w:ascii="David" w:hAnsi="David"/>
        <w:color w:val="000000"/>
        <w:sz w:val="22"/>
        <w:szCs w:val="22"/>
        <w:rtl/>
      </w:rPr>
      <w:t>אינסל</w:t>
    </w:r>
    <w:proofErr w:type="spellEnd"/>
    <w:r>
      <w:rPr>
        <w:rFonts w:ascii="David" w:hAnsi="David"/>
        <w:color w:val="000000"/>
        <w:sz w:val="22"/>
        <w:szCs w:val="22"/>
        <w:rtl/>
      </w:rPr>
      <w:t xml:space="preserve"> , מנהל מיוחד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E0"/>
    <w:rsid w:val="003F7248"/>
    <w:rsid w:val="008C3166"/>
    <w:rsid w:val="00A52D17"/>
    <w:rsid w:val="00AE43E0"/>
    <w:rsid w:val="00DB7C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avid"/>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3E0"/>
    <w:pPr>
      <w:overflowPunct w:val="0"/>
      <w:autoSpaceDE w:val="0"/>
      <w:autoSpaceDN w:val="0"/>
      <w:bidi/>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2D17"/>
    <w:pPr>
      <w:bidi/>
    </w:pPr>
    <w:rPr>
      <w:szCs w:val="22"/>
    </w:rPr>
  </w:style>
  <w:style w:type="character" w:styleId="Hyperlink">
    <w:name w:val="Hyperlink"/>
    <w:rsid w:val="00AE43E0"/>
    <w:rPr>
      <w:color w:val="0000FF"/>
      <w:u w:val="single"/>
    </w:rPr>
  </w:style>
  <w:style w:type="paragraph" w:styleId="a4">
    <w:name w:val="header"/>
    <w:basedOn w:val="a"/>
    <w:link w:val="a5"/>
    <w:rsid w:val="00AE43E0"/>
    <w:pPr>
      <w:tabs>
        <w:tab w:val="center" w:pos="4153"/>
        <w:tab w:val="right" w:pos="8306"/>
      </w:tabs>
    </w:pPr>
  </w:style>
  <w:style w:type="character" w:customStyle="1" w:styleId="a5">
    <w:name w:val="כותרת עליונה תו"/>
    <w:basedOn w:val="a0"/>
    <w:link w:val="a4"/>
    <w:rsid w:val="00AE43E0"/>
    <w:rPr>
      <w:rFonts w:ascii="Times New Roman" w:eastAsia="Times New Roman" w:hAnsi="Times New Roman"/>
    </w:rPr>
  </w:style>
  <w:style w:type="paragraph" w:styleId="a6">
    <w:name w:val="footer"/>
    <w:basedOn w:val="a"/>
    <w:link w:val="a7"/>
    <w:rsid w:val="00AE43E0"/>
    <w:pPr>
      <w:tabs>
        <w:tab w:val="center" w:pos="4153"/>
        <w:tab w:val="right" w:pos="8306"/>
      </w:tabs>
    </w:pPr>
  </w:style>
  <w:style w:type="character" w:customStyle="1" w:styleId="a7">
    <w:name w:val="כותרת תחתונה תו"/>
    <w:basedOn w:val="a0"/>
    <w:link w:val="a6"/>
    <w:rsid w:val="00AE43E0"/>
    <w:rPr>
      <w:rFonts w:ascii="Times New Roman" w:eastAsia="Times New Roman" w:hAnsi="Times New Roman"/>
    </w:rPr>
  </w:style>
  <w:style w:type="paragraph" w:customStyle="1" w:styleId="Ruller3">
    <w:name w:val="Ruller 3"/>
    <w:basedOn w:val="a"/>
    <w:rsid w:val="00AE43E0"/>
    <w:pPr>
      <w:tabs>
        <w:tab w:val="left" w:pos="3210"/>
        <w:tab w:val="left" w:pos="6753"/>
      </w:tabs>
      <w:spacing w:line="360" w:lineRule="auto"/>
    </w:pPr>
    <w:rPr>
      <w:rFonts w:cs="FrankRuehl"/>
      <w:spacing w:val="10"/>
      <w:sz w:val="22"/>
      <w:szCs w:val="28"/>
    </w:rPr>
  </w:style>
  <w:style w:type="paragraph" w:customStyle="1" w:styleId="FileNumber">
    <w:name w:val="File Number"/>
    <w:basedOn w:val="a"/>
    <w:rsid w:val="00AE43E0"/>
    <w:pPr>
      <w:spacing w:line="360" w:lineRule="auto"/>
      <w:jc w:val="right"/>
    </w:pPr>
    <w:rPr>
      <w:bCs/>
    </w:rPr>
  </w:style>
  <w:style w:type="paragraph" w:customStyle="1" w:styleId="DocumentHead">
    <w:name w:val="Document Head"/>
    <w:basedOn w:val="a"/>
    <w:rsid w:val="00AE43E0"/>
    <w:pPr>
      <w:spacing w:line="360" w:lineRule="auto"/>
      <w:jc w:val="center"/>
    </w:pPr>
    <w:rPr>
      <w:bCs/>
      <w:spacing w:val="30"/>
      <w:szCs w:val="28"/>
      <w:u w:val="single"/>
    </w:rPr>
  </w:style>
  <w:style w:type="paragraph" w:customStyle="1" w:styleId="Ruller4">
    <w:name w:val="Ruller4"/>
    <w:basedOn w:val="a"/>
    <w:rsid w:val="00AE43E0"/>
    <w:pPr>
      <w:tabs>
        <w:tab w:val="left" w:pos="800"/>
      </w:tabs>
      <w:spacing w:line="360" w:lineRule="auto"/>
      <w:jc w:val="both"/>
    </w:pPr>
    <w:rPr>
      <w:rFonts w:ascii="Arial TUR" w:hAnsi="Arial TUR" w:cs="FrankRuehl"/>
      <w:spacing w:val="10"/>
      <w:sz w:val="22"/>
      <w:szCs w:val="28"/>
    </w:rPr>
  </w:style>
  <w:style w:type="paragraph" w:customStyle="1" w:styleId="BodyRuller">
    <w:name w:val="Body Ruller"/>
    <w:basedOn w:val="a"/>
    <w:rsid w:val="00AE43E0"/>
    <w:rPr>
      <w:sz w:val="22"/>
      <w:szCs w:val="28"/>
    </w:rPr>
  </w:style>
  <w:style w:type="paragraph" w:customStyle="1" w:styleId="Ruller38">
    <w:name w:val="סגנון Ruller 3 + (מורכב) ‏8 נק"/>
    <w:basedOn w:val="BodyRuller"/>
    <w:rsid w:val="00AE43E0"/>
    <w:rPr>
      <w:szCs w:val="16"/>
    </w:rPr>
  </w:style>
  <w:style w:type="paragraph" w:customStyle="1" w:styleId="FileNumber0">
    <w:name w:val="סגנון File Number + ימין"/>
    <w:basedOn w:val="FileNumber"/>
    <w:rsid w:val="00AE43E0"/>
    <w:pPr>
      <w:jc w:val="left"/>
    </w:pPr>
    <w:rPr>
      <w:szCs w:val="28"/>
    </w:rPr>
  </w:style>
  <w:style w:type="paragraph" w:styleId="a8">
    <w:name w:val="Balloon Text"/>
    <w:basedOn w:val="a"/>
    <w:link w:val="a9"/>
    <w:uiPriority w:val="99"/>
    <w:semiHidden/>
    <w:unhideWhenUsed/>
    <w:rsid w:val="00AE43E0"/>
    <w:rPr>
      <w:rFonts w:ascii="Tahoma" w:hAnsi="Tahoma" w:cs="Tahoma"/>
      <w:sz w:val="16"/>
      <w:szCs w:val="16"/>
    </w:rPr>
  </w:style>
  <w:style w:type="character" w:customStyle="1" w:styleId="a9">
    <w:name w:val="טקסט בלונים תו"/>
    <w:basedOn w:val="a0"/>
    <w:link w:val="a8"/>
    <w:uiPriority w:val="99"/>
    <w:semiHidden/>
    <w:rsid w:val="00AE43E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avid"/>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3E0"/>
    <w:pPr>
      <w:overflowPunct w:val="0"/>
      <w:autoSpaceDE w:val="0"/>
      <w:autoSpaceDN w:val="0"/>
      <w:bidi/>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2D17"/>
    <w:pPr>
      <w:bidi/>
    </w:pPr>
    <w:rPr>
      <w:szCs w:val="22"/>
    </w:rPr>
  </w:style>
  <w:style w:type="character" w:styleId="Hyperlink">
    <w:name w:val="Hyperlink"/>
    <w:rsid w:val="00AE43E0"/>
    <w:rPr>
      <w:color w:val="0000FF"/>
      <w:u w:val="single"/>
    </w:rPr>
  </w:style>
  <w:style w:type="paragraph" w:styleId="a4">
    <w:name w:val="header"/>
    <w:basedOn w:val="a"/>
    <w:link w:val="a5"/>
    <w:rsid w:val="00AE43E0"/>
    <w:pPr>
      <w:tabs>
        <w:tab w:val="center" w:pos="4153"/>
        <w:tab w:val="right" w:pos="8306"/>
      </w:tabs>
    </w:pPr>
  </w:style>
  <w:style w:type="character" w:customStyle="1" w:styleId="a5">
    <w:name w:val="כותרת עליונה תו"/>
    <w:basedOn w:val="a0"/>
    <w:link w:val="a4"/>
    <w:rsid w:val="00AE43E0"/>
    <w:rPr>
      <w:rFonts w:ascii="Times New Roman" w:eastAsia="Times New Roman" w:hAnsi="Times New Roman"/>
    </w:rPr>
  </w:style>
  <w:style w:type="paragraph" w:styleId="a6">
    <w:name w:val="footer"/>
    <w:basedOn w:val="a"/>
    <w:link w:val="a7"/>
    <w:rsid w:val="00AE43E0"/>
    <w:pPr>
      <w:tabs>
        <w:tab w:val="center" w:pos="4153"/>
        <w:tab w:val="right" w:pos="8306"/>
      </w:tabs>
    </w:pPr>
  </w:style>
  <w:style w:type="character" w:customStyle="1" w:styleId="a7">
    <w:name w:val="כותרת תחתונה תו"/>
    <w:basedOn w:val="a0"/>
    <w:link w:val="a6"/>
    <w:rsid w:val="00AE43E0"/>
    <w:rPr>
      <w:rFonts w:ascii="Times New Roman" w:eastAsia="Times New Roman" w:hAnsi="Times New Roman"/>
    </w:rPr>
  </w:style>
  <w:style w:type="paragraph" w:customStyle="1" w:styleId="Ruller3">
    <w:name w:val="Ruller 3"/>
    <w:basedOn w:val="a"/>
    <w:rsid w:val="00AE43E0"/>
    <w:pPr>
      <w:tabs>
        <w:tab w:val="left" w:pos="3210"/>
        <w:tab w:val="left" w:pos="6753"/>
      </w:tabs>
      <w:spacing w:line="360" w:lineRule="auto"/>
    </w:pPr>
    <w:rPr>
      <w:rFonts w:cs="FrankRuehl"/>
      <w:spacing w:val="10"/>
      <w:sz w:val="22"/>
      <w:szCs w:val="28"/>
    </w:rPr>
  </w:style>
  <w:style w:type="paragraph" w:customStyle="1" w:styleId="FileNumber">
    <w:name w:val="File Number"/>
    <w:basedOn w:val="a"/>
    <w:rsid w:val="00AE43E0"/>
    <w:pPr>
      <w:spacing w:line="360" w:lineRule="auto"/>
      <w:jc w:val="right"/>
    </w:pPr>
    <w:rPr>
      <w:bCs/>
    </w:rPr>
  </w:style>
  <w:style w:type="paragraph" w:customStyle="1" w:styleId="DocumentHead">
    <w:name w:val="Document Head"/>
    <w:basedOn w:val="a"/>
    <w:rsid w:val="00AE43E0"/>
    <w:pPr>
      <w:spacing w:line="360" w:lineRule="auto"/>
      <w:jc w:val="center"/>
    </w:pPr>
    <w:rPr>
      <w:bCs/>
      <w:spacing w:val="30"/>
      <w:szCs w:val="28"/>
      <w:u w:val="single"/>
    </w:rPr>
  </w:style>
  <w:style w:type="paragraph" w:customStyle="1" w:styleId="Ruller4">
    <w:name w:val="Ruller4"/>
    <w:basedOn w:val="a"/>
    <w:rsid w:val="00AE43E0"/>
    <w:pPr>
      <w:tabs>
        <w:tab w:val="left" w:pos="800"/>
      </w:tabs>
      <w:spacing w:line="360" w:lineRule="auto"/>
      <w:jc w:val="both"/>
    </w:pPr>
    <w:rPr>
      <w:rFonts w:ascii="Arial TUR" w:hAnsi="Arial TUR" w:cs="FrankRuehl"/>
      <w:spacing w:val="10"/>
      <w:sz w:val="22"/>
      <w:szCs w:val="28"/>
    </w:rPr>
  </w:style>
  <w:style w:type="paragraph" w:customStyle="1" w:styleId="BodyRuller">
    <w:name w:val="Body Ruller"/>
    <w:basedOn w:val="a"/>
    <w:rsid w:val="00AE43E0"/>
    <w:rPr>
      <w:sz w:val="22"/>
      <w:szCs w:val="28"/>
    </w:rPr>
  </w:style>
  <w:style w:type="paragraph" w:customStyle="1" w:styleId="Ruller38">
    <w:name w:val="סגנון Ruller 3 + (מורכב) ‏8 נק"/>
    <w:basedOn w:val="BodyRuller"/>
    <w:rsid w:val="00AE43E0"/>
    <w:rPr>
      <w:szCs w:val="16"/>
    </w:rPr>
  </w:style>
  <w:style w:type="paragraph" w:customStyle="1" w:styleId="FileNumber0">
    <w:name w:val="סגנון File Number + ימין"/>
    <w:basedOn w:val="FileNumber"/>
    <w:rsid w:val="00AE43E0"/>
    <w:pPr>
      <w:jc w:val="left"/>
    </w:pPr>
    <w:rPr>
      <w:szCs w:val="28"/>
    </w:rPr>
  </w:style>
  <w:style w:type="paragraph" w:styleId="a8">
    <w:name w:val="Balloon Text"/>
    <w:basedOn w:val="a"/>
    <w:link w:val="a9"/>
    <w:uiPriority w:val="99"/>
    <w:semiHidden/>
    <w:unhideWhenUsed/>
    <w:rsid w:val="00AE43E0"/>
    <w:rPr>
      <w:rFonts w:ascii="Tahoma" w:hAnsi="Tahoma" w:cs="Tahoma"/>
      <w:sz w:val="16"/>
      <w:szCs w:val="16"/>
    </w:rPr>
  </w:style>
  <w:style w:type="character" w:customStyle="1" w:styleId="a9">
    <w:name w:val="טקסט בלונים תו"/>
    <w:basedOn w:val="a0"/>
    <w:link w:val="a8"/>
    <w:uiPriority w:val="99"/>
    <w:semiHidden/>
    <w:rsid w:val="00AE43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84264/111" TargetMode="External"/><Relationship Id="rId13" Type="http://schemas.openxmlformats.org/officeDocument/2006/relationships/hyperlink" Target="http://www.nevo.co.il/law/84264"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vo.co.il/law/84264" TargetMode="External"/><Relationship Id="rId12" Type="http://schemas.openxmlformats.org/officeDocument/2006/relationships/hyperlink" Target="http://www.nevo.co.il/law/84264/111"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evo.co.il/law/4668/18c.a" TargetMode="External"/><Relationship Id="rId11" Type="http://schemas.openxmlformats.org/officeDocument/2006/relationships/hyperlink" Target="http://www.nevo.co.il/law/4668" TargetMode="External"/><Relationship Id="rId5" Type="http://schemas.openxmlformats.org/officeDocument/2006/relationships/hyperlink" Target="http://www.nevo.co.il/law/4668" TargetMode="External"/><Relationship Id="rId15" Type="http://schemas.openxmlformats.org/officeDocument/2006/relationships/header" Target="header1.xml"/><Relationship Id="rId10" Type="http://schemas.openxmlformats.org/officeDocument/2006/relationships/hyperlink" Target="http://www.nevo.co.il/law/4668/18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vo.co.il/law/71891" TargetMode="External"/><Relationship Id="rId14" Type="http://schemas.openxmlformats.org/officeDocument/2006/relationships/hyperlink" Target="http://www.nevo.co.il/law/7189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5387</Characters>
  <Application>Microsoft Office Word</Application>
  <DocSecurity>0</DocSecurity>
  <Lines>44</Lines>
  <Paragraphs>12</Paragraphs>
  <ScaleCrop>false</ScaleCrop>
  <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cp:revision>
  <dcterms:created xsi:type="dcterms:W3CDTF">2015-08-02T06:54:00Z</dcterms:created>
  <dcterms:modified xsi:type="dcterms:W3CDTF">2015-08-02T06:54:00Z</dcterms:modified>
</cp:coreProperties>
</file>